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rPr>
          <w:rFonts w:hint="eastAsia" w:eastAsia="黑体"/>
          <w:szCs w:val="32"/>
        </w:rPr>
      </w:pPr>
      <w:r>
        <w:rPr>
          <w:rFonts w:hint="eastAsia" w:ascii="黑体" w:hAnsi="黑体" w:eastAsia="黑体" w:cs="仿宋_GB2312"/>
          <w:szCs w:val="32"/>
        </w:rPr>
        <w:t>附</w:t>
      </w:r>
      <w:r>
        <w:rPr>
          <w:rFonts w:hAnsi="黑体" w:eastAsia="黑体"/>
          <w:szCs w:val="32"/>
        </w:rPr>
        <w:t>件</w:t>
      </w:r>
      <w:r>
        <w:rPr>
          <w:rFonts w:eastAsia="黑体"/>
          <w:szCs w:val="32"/>
        </w:rPr>
        <w:t>1</w:t>
      </w:r>
    </w:p>
    <w:p>
      <w:pPr>
        <w:spacing w:line="580" w:lineRule="exact"/>
        <w:rPr>
          <w:rFonts w:hint="eastAsia" w:ascii="仿宋_GB2312" w:hAnsi="方正小标宋简体" w:cs="方正小标宋简体"/>
          <w:color w:val="000000"/>
          <w:spacing w:val="-20"/>
          <w:kern w:val="0"/>
          <w:szCs w:val="32"/>
        </w:rPr>
      </w:pPr>
    </w:p>
    <w:p>
      <w:pPr>
        <w:adjustRightInd w:val="0"/>
        <w:snapToGrid w:val="0"/>
        <w:jc w:val="center"/>
        <w:rPr>
          <w:rFonts w:hint="eastAsia" w:ascii="方正小标宋简体" w:hAnsi="宋体" w:eastAsia="方正小标宋简体" w:cs="方正小标宋简体"/>
          <w:color w:val="000000"/>
          <w:kern w:val="0"/>
          <w:sz w:val="44"/>
          <w:szCs w:val="44"/>
        </w:rPr>
      </w:pPr>
      <w:r>
        <w:rPr>
          <w:rFonts w:eastAsia="方正小标宋简体"/>
          <w:color w:val="000000"/>
          <w:kern w:val="0"/>
          <w:sz w:val="44"/>
          <w:szCs w:val="44"/>
        </w:rPr>
        <w:t>2021</w:t>
      </w:r>
      <w:r>
        <w:rPr>
          <w:rFonts w:hint="eastAsia" w:ascii="方正小标宋简体" w:hAnsi="宋体" w:eastAsia="方正小标宋简体" w:cs="方正小标宋简体"/>
          <w:color w:val="000000"/>
          <w:kern w:val="0"/>
          <w:sz w:val="44"/>
          <w:szCs w:val="44"/>
        </w:rPr>
        <w:t>年度全国护士执业资格考试</w:t>
      </w:r>
    </w:p>
    <w:p>
      <w:pPr>
        <w:adjustRightInd w:val="0"/>
        <w:snapToGrid w:val="0"/>
        <w:jc w:val="center"/>
        <w:rPr>
          <w:rFonts w:hint="eastAsia" w:ascii="方正小标宋简体" w:hAnsi="宋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color w:val="000000"/>
          <w:kern w:val="0"/>
          <w:sz w:val="44"/>
          <w:szCs w:val="44"/>
        </w:rPr>
        <w:t>福建考区考试时间安排</w:t>
      </w:r>
    </w:p>
    <w:p>
      <w:pPr>
        <w:ind w:firstLine="160" w:firstLineChars="50"/>
        <w:jc w:val="center"/>
        <w:rPr>
          <w:rFonts w:ascii="宋体" w:cs="宋体"/>
          <w:color w:val="000000"/>
          <w:kern w:val="0"/>
          <w:szCs w:val="32"/>
        </w:rPr>
      </w:pPr>
    </w:p>
    <w:tbl>
      <w:tblPr>
        <w:tblStyle w:val="4"/>
        <w:tblW w:w="8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574"/>
        <w:gridCol w:w="2370"/>
        <w:gridCol w:w="2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Cs w:val="32"/>
              </w:rPr>
            </w:pPr>
            <w:r>
              <w:rPr>
                <w:rFonts w:hint="eastAsia" w:ascii="黑体" w:hAnsi="黑体" w:eastAsia="黑体"/>
                <w:szCs w:val="32"/>
              </w:rPr>
              <w:t>考试日期</w:t>
            </w:r>
          </w:p>
        </w:tc>
        <w:tc>
          <w:tcPr>
            <w:tcW w:w="157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Cs w:val="32"/>
              </w:rPr>
            </w:pPr>
            <w:r>
              <w:rPr>
                <w:rFonts w:hint="eastAsia" w:ascii="黑体" w:hAnsi="黑体" w:eastAsia="黑体"/>
                <w:szCs w:val="32"/>
              </w:rPr>
              <w:t>轮次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Cs w:val="32"/>
              </w:rPr>
            </w:pPr>
            <w:r>
              <w:rPr>
                <w:rFonts w:hint="eastAsia" w:ascii="黑体" w:hAnsi="黑体" w:eastAsia="黑体"/>
                <w:szCs w:val="32"/>
              </w:rPr>
              <w:t>考试科目</w:t>
            </w:r>
          </w:p>
        </w:tc>
        <w:tc>
          <w:tcPr>
            <w:tcW w:w="271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Cs w:val="32"/>
              </w:rPr>
            </w:pPr>
            <w:r>
              <w:rPr>
                <w:rFonts w:hint="eastAsia" w:ascii="黑体" w:hAnsi="黑体" w:eastAsia="黑体"/>
                <w:szCs w:val="32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620" w:type="dxa"/>
            <w:vMerge w:val="restart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4月24日</w:t>
            </w:r>
          </w:p>
        </w:tc>
        <w:tc>
          <w:tcPr>
            <w:tcW w:w="1574" w:type="dxa"/>
            <w:vMerge w:val="restart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第一轮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专业实务</w:t>
            </w:r>
          </w:p>
        </w:tc>
        <w:tc>
          <w:tcPr>
            <w:tcW w:w="2716" w:type="dxa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08:30-10:10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620" w:type="dxa"/>
            <w:vMerge w:val="continue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574" w:type="dxa"/>
            <w:vMerge w:val="continue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实践能力</w:t>
            </w:r>
          </w:p>
        </w:tc>
        <w:tc>
          <w:tcPr>
            <w:tcW w:w="2716" w:type="dxa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10:55-12:35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620" w:type="dxa"/>
            <w:vMerge w:val="continue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574" w:type="dxa"/>
            <w:vMerge w:val="restart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第二轮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专业实务</w:t>
            </w:r>
          </w:p>
        </w:tc>
        <w:tc>
          <w:tcPr>
            <w:tcW w:w="2716" w:type="dxa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14:00-15:40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620" w:type="dxa"/>
            <w:vMerge w:val="continue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574" w:type="dxa"/>
            <w:vMerge w:val="continue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实践能力</w:t>
            </w:r>
          </w:p>
        </w:tc>
        <w:tc>
          <w:tcPr>
            <w:tcW w:w="2716" w:type="dxa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16:25-18:05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620" w:type="dxa"/>
            <w:vMerge w:val="restart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4月25日</w:t>
            </w:r>
          </w:p>
        </w:tc>
        <w:tc>
          <w:tcPr>
            <w:tcW w:w="1574" w:type="dxa"/>
            <w:vMerge w:val="restart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第三轮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专业实务</w:t>
            </w:r>
          </w:p>
        </w:tc>
        <w:tc>
          <w:tcPr>
            <w:tcW w:w="2716" w:type="dxa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08:30-10:10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620" w:type="dxa"/>
            <w:vMerge w:val="continue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574" w:type="dxa"/>
            <w:vMerge w:val="continue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实践能力</w:t>
            </w:r>
          </w:p>
        </w:tc>
        <w:tc>
          <w:tcPr>
            <w:tcW w:w="2716" w:type="dxa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10:55-12:35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620" w:type="dxa"/>
            <w:vMerge w:val="continue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574" w:type="dxa"/>
            <w:vMerge w:val="restart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第四轮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专业实务</w:t>
            </w:r>
          </w:p>
        </w:tc>
        <w:tc>
          <w:tcPr>
            <w:tcW w:w="2716" w:type="dxa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14:00-15:40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620" w:type="dxa"/>
            <w:vMerge w:val="continue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574" w:type="dxa"/>
            <w:vMerge w:val="continue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实践能力</w:t>
            </w:r>
          </w:p>
        </w:tc>
        <w:tc>
          <w:tcPr>
            <w:tcW w:w="2716" w:type="dxa"/>
            <w:noWrap w:val="0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szCs w:val="32"/>
              </w:rPr>
              <w:t>16:25-18:05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713A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2021-01-11T03:25:52Z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