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</w:p>
    <w:p>
      <w:pPr>
        <w:adjustRightInd w:val="0"/>
        <w:snapToGrid w:val="0"/>
        <w:spacing w:line="240" w:lineRule="auto"/>
        <w:rPr>
          <w:rFonts w:hint="eastAsia" w:ascii="黑体" w:hAnsi="黑体"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hint="eastAsia"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福建省检查检验结果互认条件及项目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eastAsia="方正仿宋简体"/>
          <w:color w:val="000000"/>
          <w:sz w:val="32"/>
          <w:szCs w:val="32"/>
        </w:rPr>
      </w:pPr>
    </w:p>
    <w:p>
      <w:pPr>
        <w:adjustRightInd w:val="0"/>
        <w:snapToGrid w:val="0"/>
        <w:spacing w:line="59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    一、医学影像检查</w:t>
      </w:r>
    </w:p>
    <w:p>
      <w:pPr>
        <w:adjustRightInd w:val="0"/>
        <w:snapToGrid w:val="0"/>
        <w:spacing w:line="590" w:lineRule="exact"/>
        <w:rPr>
          <w:rFonts w:hint="eastAsia" w:ascii="楷体_GB2312" w:hAnsi="楷体" w:eastAsia="楷体_GB2312" w:cs="楷体"/>
          <w:b/>
          <w:bCs/>
          <w:color w:val="000000"/>
          <w:sz w:val="32"/>
          <w:szCs w:val="32"/>
        </w:rPr>
      </w:pPr>
      <w:r>
        <w:rPr>
          <w:rFonts w:hint="eastAsia" w:ascii="仿宋_GB2312" w:hAnsi="楷体" w:eastAsia="仿宋_GB2312" w:cs="楷体"/>
          <w:b/>
          <w:bCs/>
          <w:color w:val="000000"/>
          <w:sz w:val="32"/>
          <w:szCs w:val="32"/>
        </w:rPr>
        <w:t xml:space="preserve">    </w:t>
      </w:r>
      <w:r>
        <w:rPr>
          <w:rFonts w:hint="eastAsia" w:ascii="楷体_GB2312" w:hAnsi="楷体" w:eastAsia="楷体_GB2312" w:cs="楷体"/>
          <w:b/>
          <w:bCs/>
          <w:color w:val="000000"/>
          <w:sz w:val="32"/>
          <w:szCs w:val="32"/>
        </w:rPr>
        <w:t>（一）互认条件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1.取得“放射诊疗许可证”、每年参加并完成原国家卫生计生委办公厅《关于开展医疗卫生专项监督检查工作通知》（国卫办监督函〔2013〕37号）的项目。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2.建设有医学影像信息系统（PACS），并能满足工作需求，PACS能与RIS、HIS完好衔接。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3.技术操作规范，图像处理按诊断的需要进行后处理，图像质量清晰，符合诊断要求，病人基本信息及检查日期准确。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4.医学影像检查的报告和资料的文字符合医疗文件书写规范的要求，字迹清楚，病变相关数据准确。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5.普通的影像报告由主治医师及以上技术职称的医师审核，疑难病例应由具有副主任医师及以上技术职称的医师审核。</w:t>
      </w:r>
    </w:p>
    <w:p>
      <w:pPr>
        <w:adjustRightInd w:val="0"/>
        <w:snapToGrid w:val="0"/>
        <w:spacing w:line="590" w:lineRule="exact"/>
        <w:rPr>
          <w:rFonts w:hint="eastAsia" w:ascii="楷体_GB2312" w:hAnsi="楷体" w:eastAsia="楷体_GB2312" w:cs="楷体"/>
          <w:b/>
          <w:bCs/>
          <w:color w:val="000000"/>
          <w:sz w:val="32"/>
          <w:szCs w:val="32"/>
        </w:rPr>
      </w:pPr>
      <w:r>
        <w:rPr>
          <w:rFonts w:hint="eastAsia" w:ascii="仿宋_GB2312" w:hAnsi="楷体" w:eastAsia="仿宋_GB2312" w:cs="楷体"/>
          <w:b/>
          <w:bCs/>
          <w:color w:val="000000"/>
          <w:sz w:val="32"/>
          <w:szCs w:val="32"/>
        </w:rPr>
        <w:t xml:space="preserve">    </w:t>
      </w:r>
      <w:r>
        <w:rPr>
          <w:rFonts w:hint="eastAsia" w:ascii="楷体_GB2312" w:hAnsi="楷体" w:eastAsia="楷体_GB2312" w:cs="楷体"/>
          <w:b/>
          <w:bCs/>
          <w:color w:val="000000"/>
          <w:sz w:val="32"/>
          <w:szCs w:val="32"/>
        </w:rPr>
        <w:t>（二）互认项目（3类55项）</w:t>
      </w:r>
    </w:p>
    <w:p>
      <w:pPr>
        <w:adjustRightInd w:val="0"/>
        <w:snapToGrid w:val="0"/>
        <w:spacing w:line="590" w:lineRule="exact"/>
        <w:ind w:firstLine="643" w:firstLineChars="200"/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</w:rPr>
        <w:t>1.普通放射检查（10项）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（1）数字X成像（DR）：胸部、四肢及关节、脊柱（颈椎、胸椎、腰椎、骶椎）、骨盆、腹部（立位、卧位、倒立位）摄片。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（2）数字化平板乳腺摄片检查（CC、MLO位）、必要时局部加压。</w:t>
      </w:r>
    </w:p>
    <w:p>
      <w:pPr>
        <w:adjustRightInd w:val="0"/>
        <w:snapToGrid w:val="0"/>
        <w:spacing w:line="590" w:lineRule="exact"/>
        <w:ind w:firstLine="643" w:firstLineChars="200"/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</w:rPr>
        <w:t>2.CT检查（21项）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（1）头颅平扫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（2）副鼻窦平扫（轴位及冠状位多平面重建）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（3）鼻咽部平扫+增强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（4）颈部平扫+增强（颈部CT平扫不作为互认项目）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（5）胸部平扫（含薄层轴位像及病灶区多平面重建像）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（6）胸部平扫+增强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（7）上腹部平扫+增强（三期扫描）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（8）中腹部平扫+增强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（9）下腹部平扫+增强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（10）头颈部CTA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（11）冠脉CTA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（12）肺动脉CTA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（13）胸腹主CTA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（14）左房肺静脉CTA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（15）双肾盂输尿管膀胱CTU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（16）颈椎间盘CT平扫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（17）胸椎CT平扫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（18）腰椎间盘CT平扫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（19）下肢动脉CTA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（20）内听道CT平扫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（21）四肢CT平扫+三维重建+多平面重建</w:t>
      </w:r>
    </w:p>
    <w:p>
      <w:pPr>
        <w:adjustRightInd w:val="0"/>
        <w:snapToGrid w:val="0"/>
        <w:spacing w:line="590" w:lineRule="exact"/>
        <w:ind w:firstLine="643" w:firstLineChars="200"/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color w:val="000000"/>
          <w:sz w:val="32"/>
          <w:szCs w:val="32"/>
        </w:rPr>
        <w:t>3.MRI检查（24项）：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（1）颅脑平扫（T1WI，T2WI，FLAIR，DWI）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（2）颅脑平扫+增强（T1WI、T2WI、FLAIR，DWI）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（3）垂体（平扫+动态增强）（T1WI、T2WI）/（Sag，Cor）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（4）颈部（平扫）（T1WI、T2WI）/（Tra，Cor）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（5）颈部（平扫+增强）（T1WI、T2WI）/（Tra，sag，Cor）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（6）脊柱平扫（T1WI、T2WI）/（Tra，Sag）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（7）脊柱平扫+增强（T1WI、T2WI）/（Tra，Sag、Cor）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（8）上腹部平扫（T1WI、T2W/压脂T2WI）/（Tra，Cor或Sag、DWI）</w:t>
      </w:r>
    </w:p>
    <w:p>
      <w:pPr>
        <w:tabs>
          <w:tab w:val="left" w:pos="3780"/>
        </w:tabs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（9）上腹部（平扫+动态增强）（T1WI、T2WI/压脂T2WI）/（Tra，Cor或Sag、DWI）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（10）下腹部平扫（T1WI、T2WI/压脂T2WI）/（Tra，Cor或Sag，DWI）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（11）下腹部（平扫+动态增强）（T1WI、T2WI/压脂T2WI）/（Tra，Cor或Sag，DWI）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（12）双髋关节（T1WI、T2WI、压脂T2WI）/（Tra，Cor）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（13）膝关节（T1WI、T2WI、PDWI或压脂T2WI）/（Cor，Sag、Tra（或重建的Tra）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（14）乳腺平扫（T1WI、压脂T2WI、DWI）/（Tra、Sag或Cor）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（15）乳腺（平扫+动态增强）（T1WI、压脂T2WI、DWI）/（Tra、Sag或Cor）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（16）颅脑MRA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（17）颅脑MRA（增强）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（18）颅脑MRV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（19）颅脑MRV（增强）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（20）颈部MRA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（21）颈部MRA（增强）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（22）内耳平扫（T1WI、T2WI）/（Tra、Cor）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（23）内耳水成像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（24）四肢小关节（平扫）（包括肘关节、踝关节、肩关节等）（T1WI、T2WI、PDWI或压脂T2WI）（Cor、Tra+Sag）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adjustRightInd w:val="0"/>
        <w:snapToGrid w:val="0"/>
        <w:spacing w:line="590" w:lineRule="exact"/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仿宋_GB2312" w:hAnsi="黑体" w:eastAsia="仿宋_GB2312" w:cs="黑体"/>
          <w:color w:val="000000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二、医学检验</w:t>
      </w:r>
    </w:p>
    <w:p>
      <w:pPr>
        <w:adjustRightInd w:val="0"/>
        <w:snapToGrid w:val="0"/>
        <w:spacing w:line="590" w:lineRule="exact"/>
        <w:ind w:firstLine="630" w:firstLineChars="196"/>
        <w:rPr>
          <w:rFonts w:hint="eastAsia" w:ascii="楷体_GB2312" w:hAnsi="楷体" w:eastAsia="楷体_GB2312" w:cs="楷体"/>
          <w:b/>
          <w:bCs/>
          <w:color w:val="000000"/>
          <w:sz w:val="32"/>
          <w:szCs w:val="32"/>
        </w:rPr>
      </w:pPr>
      <w:bookmarkStart w:id="0" w:name="_Hlt370736416"/>
      <w:bookmarkStart w:id="1" w:name="_Hlt370736415"/>
      <w:r>
        <w:rPr>
          <w:rFonts w:hint="eastAsia" w:ascii="楷体_GB2312" w:hAnsi="楷体" w:eastAsia="楷体_GB2312" w:cs="楷体"/>
          <w:b/>
          <w:bCs/>
          <w:color w:val="000000"/>
          <w:sz w:val="32"/>
          <w:szCs w:val="32"/>
        </w:rPr>
        <w:t>（一）互认条件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1.实验室具有信息系统（LIS），并能满足实验室工作需求，LIS能与HIS完好衔接，所有检测设备的室内质控数据能自动导入LIS中。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2.规范开展室内质控，工作人员能掌握室内质控相关知识，互认项目能规范地开展室内质控活动，对失控项目能分析原因，并采取相应的纠正措施。实验室及信息科能配合相关部门，通过我省居民健康档案信息系统网络，使LIS中的室内质控数据能适时上传至省临检中心质量管理平台。</w:t>
      </w:r>
    </w:p>
    <w:p>
      <w:pPr>
        <w:widowControl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  <w:lang w:bidi="ar"/>
        </w:rPr>
        <w:t>3.实验室应制定文件化程序，定期（按相关专业要求）对直接或间接影响检验结果的设备进行校准。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4.参加福建省临床检验中心组织的室间质量评价，并至少符合以下2个条件之一：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（1）省临床检验中心前一年的室间质评成绩合格；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（2）国家卫生健康委临床检验中心前一年的室间质评合格。</w:t>
      </w:r>
    </w:p>
    <w:p>
      <w:pPr>
        <w:adjustRightInd w:val="0"/>
        <w:snapToGrid w:val="0"/>
        <w:spacing w:line="590" w:lineRule="exact"/>
        <w:ind w:firstLine="640" w:firstLineChars="200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5.医疗机构内采用不同检测系统检测同一项目时应定期（每年至少2次）进行结果的比对，实验室应有比对程序及相应的SOP。使用不同参考区间的检测系统间不宜进行结果比对。</w:t>
      </w:r>
    </w:p>
    <w:p>
      <w:pPr>
        <w:widowControl/>
        <w:adjustRightInd w:val="0"/>
        <w:snapToGrid w:val="0"/>
        <w:spacing w:line="590" w:lineRule="exact"/>
        <w:ind w:firstLine="640" w:firstLineChars="200"/>
        <w:jc w:val="left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sz w:val="32"/>
          <w:szCs w:val="32"/>
        </w:rPr>
        <w:t>6.三级甲等医疗机构实验室应适时对</w:t>
      </w:r>
      <w:r>
        <w:rPr>
          <w:rFonts w:hint="eastAsia" w:ascii="仿宋_GB2312" w:hAnsi="仿宋" w:eastAsia="仿宋_GB2312" w:cs="仿宋"/>
          <w:color w:val="000000"/>
          <w:sz w:val="32"/>
          <w:szCs w:val="32"/>
          <w:lang w:bidi="ar"/>
        </w:rPr>
        <w:t>检验方法和程序的分析性能进行验证，有条件的其他</w:t>
      </w:r>
      <w:r>
        <w:rPr>
          <w:rFonts w:hint="eastAsia" w:ascii="仿宋_GB2312" w:hAnsi="仿宋" w:eastAsia="仿宋_GB2312" w:cs="仿宋"/>
          <w:color w:val="000000"/>
          <w:sz w:val="32"/>
          <w:szCs w:val="32"/>
        </w:rPr>
        <w:t>医疗机构实验室宜参照执行。</w:t>
      </w:r>
    </w:p>
    <w:p>
      <w:pPr>
        <w:numPr>
          <w:ilvl w:val="0"/>
          <w:numId w:val="1"/>
        </w:numPr>
        <w:adjustRightInd w:val="0"/>
        <w:snapToGrid w:val="0"/>
        <w:spacing w:line="590" w:lineRule="exact"/>
        <w:ind w:firstLine="643" w:firstLineChars="200"/>
        <w:rPr>
          <w:rFonts w:hint="eastAsia" w:ascii="楷体_GB2312" w:hAnsi="楷体" w:eastAsia="楷体_GB2312" w:cs="楷体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"/>
          <w:b/>
          <w:bCs/>
          <w:color w:val="000000"/>
          <w:sz w:val="32"/>
          <w:szCs w:val="32"/>
        </w:rPr>
        <w:t>互认项目（共7大类18小类73项）</w:t>
      </w:r>
    </w:p>
    <w:p>
      <w:pPr>
        <w:adjustRightInd w:val="0"/>
        <w:snapToGrid w:val="0"/>
        <w:spacing w:line="590" w:lineRule="exact"/>
        <w:rPr>
          <w:rFonts w:hint="eastAsia" w:ascii="仿宋_GB2312" w:hAnsi="仿宋" w:eastAsia="仿宋_GB2312" w:cs="仿宋"/>
          <w:b/>
          <w:bCs/>
          <w:sz w:val="32"/>
          <w:szCs w:val="32"/>
        </w:rPr>
      </w:pPr>
      <w:r>
        <w:rPr>
          <w:rFonts w:hint="eastAsia" w:ascii="仿宋_GB2312" w:hAnsi="楷体" w:eastAsia="仿宋_GB2312" w:cs="楷体"/>
          <w:b/>
          <w:bCs/>
          <w:color w:val="000000"/>
          <w:sz w:val="32"/>
          <w:szCs w:val="32"/>
        </w:rPr>
        <w:t xml:space="preserve">    </w:t>
      </w:r>
      <w:r>
        <w:rPr>
          <w:rFonts w:hint="eastAsia" w:ascii="仿宋_GB2312" w:hAnsi="仿宋" w:eastAsia="仿宋_GB2312" w:cs="仿宋"/>
          <w:b/>
          <w:bCs/>
          <w:sz w:val="32"/>
          <w:szCs w:val="32"/>
        </w:rPr>
        <w:t>1.临床血液学</w:t>
      </w:r>
    </w:p>
    <w:p>
      <w:pPr>
        <w:adjustRightInd w:val="0"/>
        <w:snapToGrid w:val="0"/>
        <w:spacing w:line="590" w:lineRule="exact"/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</w:pPr>
      <w:r>
        <w:rPr>
          <w:rFonts w:hint="eastAsia" w:ascii="仿宋_GB2312" w:hAnsi="仿宋" w:eastAsia="仿宋_GB2312" w:cs="仿宋"/>
          <w:b/>
          <w:bCs/>
          <w:sz w:val="32"/>
          <w:szCs w:val="32"/>
        </w:rPr>
        <w:t xml:space="preserve">    （1）</w:t>
      </w:r>
      <w:r>
        <w:rPr>
          <w:rStyle w:val="8"/>
          <w:rFonts w:hint="eastAsia" w:ascii="仿宋_GB2312" w:hAnsi="仿宋" w:eastAsia="仿宋_GB2312" w:cs="仿宋"/>
          <w:sz w:val="32"/>
          <w:szCs w:val="32"/>
        </w:rPr>
        <w:t>血液一般检验：</w:t>
      </w: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>红细胞计数(RBC)、白细胞计数(WBC)、血小板计数(PLT)、血红蛋白量(Hgb)、血细胞比积(HCT)、红细胞平均体积(MCV)；</w:t>
      </w:r>
    </w:p>
    <w:p>
      <w:pPr>
        <w:adjustRightInd w:val="0"/>
        <w:snapToGrid w:val="0"/>
        <w:spacing w:line="590" w:lineRule="exact"/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 xml:space="preserve">    </w:t>
      </w:r>
      <w:r>
        <w:rPr>
          <w:rStyle w:val="8"/>
          <w:rFonts w:hint="eastAsia" w:ascii="仿宋_GB2312" w:hAnsi="仿宋" w:eastAsia="仿宋_GB2312" w:cs="仿宋"/>
          <w:sz w:val="32"/>
          <w:szCs w:val="32"/>
        </w:rPr>
        <w:t>（2）出凝血检验：</w:t>
      </w: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>活化部分凝血活酶时间(APTT)、凝血酶原时间(PT)、纤维蛋白原(Fg)、凝血酶时间（TT）。</w:t>
      </w:r>
    </w:p>
    <w:p>
      <w:pPr>
        <w:adjustRightInd w:val="0"/>
        <w:snapToGrid w:val="0"/>
        <w:spacing w:line="590" w:lineRule="exact"/>
        <w:ind w:firstLine="642"/>
        <w:rPr>
          <w:rStyle w:val="8"/>
          <w:rFonts w:hint="eastAsia" w:ascii="仿宋_GB2312" w:hAnsi="仿宋" w:eastAsia="仿宋_GB2312" w:cs="仿宋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sz w:val="32"/>
          <w:szCs w:val="32"/>
        </w:rPr>
        <w:t>2.临床体液学</w:t>
      </w:r>
    </w:p>
    <w:p>
      <w:pPr>
        <w:adjustRightInd w:val="0"/>
        <w:snapToGrid w:val="0"/>
        <w:spacing w:line="590" w:lineRule="exact"/>
        <w:ind w:firstLine="642"/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sz w:val="32"/>
          <w:szCs w:val="32"/>
        </w:rPr>
        <w:t>尿液检查：</w:t>
      </w: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>pH、比重( SG )、蛋白质(PRO)、葡萄糖(GLU)、酮体( KET)、胆红素(BIL)、尿胆原(URO)、亚硝酸盐(NIT)、白细胞酯酶(LEU)潜血（或）红细胞(BLD) 。</w:t>
      </w:r>
    </w:p>
    <w:p>
      <w:pPr>
        <w:numPr>
          <w:ilvl w:val="0"/>
          <w:numId w:val="2"/>
        </w:numPr>
        <w:adjustRightInd w:val="0"/>
        <w:snapToGrid w:val="0"/>
        <w:spacing w:line="590" w:lineRule="exact"/>
        <w:ind w:firstLine="642"/>
        <w:rPr>
          <w:rStyle w:val="8"/>
          <w:rFonts w:hint="eastAsia" w:ascii="仿宋_GB2312" w:hAnsi="仿宋" w:eastAsia="仿宋_GB2312" w:cs="仿宋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sz w:val="32"/>
          <w:szCs w:val="32"/>
        </w:rPr>
        <w:t>临床化学</w:t>
      </w:r>
    </w:p>
    <w:p>
      <w:pPr>
        <w:adjustRightInd w:val="0"/>
        <w:snapToGrid w:val="0"/>
        <w:spacing w:line="590" w:lineRule="exact"/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sz w:val="32"/>
          <w:szCs w:val="32"/>
        </w:rPr>
        <w:t xml:space="preserve">    (1)酶及其相关物质：</w:t>
      </w: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>天冬氨酸氨基转移酶(AST) 、丙氨酸氨基转移酶( ALT)、乳酸脱氢酶(LDH)、碱性磷酸酶(ALP)、γ-谷氨酰转肽酶(GGT)、肌酸激酶(CK)、α-羟丁酸脱氢酶(α-HBDH)、淀粉酶(AMS)；</w:t>
      </w:r>
    </w:p>
    <w:p>
      <w:pPr>
        <w:adjustRightInd w:val="0"/>
        <w:snapToGrid w:val="0"/>
        <w:spacing w:line="590" w:lineRule="exact"/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 xml:space="preserve">    </w:t>
      </w:r>
      <w:r>
        <w:rPr>
          <w:rStyle w:val="8"/>
          <w:rFonts w:hint="eastAsia" w:ascii="仿宋_GB2312" w:hAnsi="仿宋" w:eastAsia="仿宋_GB2312" w:cs="仿宋"/>
          <w:sz w:val="32"/>
          <w:szCs w:val="32"/>
        </w:rPr>
        <w:t>（2）蛋白质和低分子含氮化合物：</w:t>
      </w: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>总蛋白(TP)、白蛋白 (ALB)、尿酸(UA)、尿素(Urea)；</w:t>
      </w:r>
    </w:p>
    <w:p>
      <w:pPr>
        <w:numPr>
          <w:ilvl w:val="0"/>
          <w:numId w:val="3"/>
        </w:numPr>
        <w:adjustRightInd w:val="0"/>
        <w:snapToGrid w:val="0"/>
        <w:spacing w:line="590" w:lineRule="exact"/>
        <w:ind w:firstLine="642"/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sz w:val="32"/>
          <w:szCs w:val="32"/>
        </w:rPr>
        <w:t>碳水化合物及相关物质：</w:t>
      </w: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>葡萄糖 (Glu) 、糖化血红蛋白A1c（HbA1c）；</w:t>
      </w:r>
    </w:p>
    <w:p>
      <w:pPr>
        <w:adjustRightInd w:val="0"/>
        <w:snapToGrid w:val="0"/>
        <w:spacing w:line="590" w:lineRule="exact"/>
        <w:ind w:firstLine="642"/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sz w:val="32"/>
          <w:szCs w:val="32"/>
        </w:rPr>
        <w:t>（4）脂质及其相关物质：</w:t>
      </w: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 xml:space="preserve">甘油三酯 (TG) 、总胆固醇 (TC) </w:t>
      </w:r>
    </w:p>
    <w:p>
      <w:pPr>
        <w:adjustRightInd w:val="0"/>
        <w:snapToGrid w:val="0"/>
        <w:spacing w:line="590" w:lineRule="exact"/>
        <w:ind w:firstLine="642"/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sz w:val="32"/>
          <w:szCs w:val="32"/>
        </w:rPr>
        <w:t>（5）电解质：</w:t>
      </w: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>钠(Na)、钾(K)、氯(Cl)、钙(Ca)、磷(P)</w:t>
      </w:r>
    </w:p>
    <w:p>
      <w:pPr>
        <w:pStyle w:val="2"/>
        <w:tabs>
          <w:tab w:val="clear" w:pos="0"/>
        </w:tabs>
        <w:spacing w:line="590" w:lineRule="exact"/>
        <w:ind w:firstLine="642"/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sz w:val="32"/>
          <w:szCs w:val="32"/>
        </w:rPr>
        <w:t>（6）无机离子和微量元素:</w:t>
      </w: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>铁(Fe);</w:t>
      </w:r>
    </w:p>
    <w:p>
      <w:pPr>
        <w:pStyle w:val="2"/>
        <w:tabs>
          <w:tab w:val="clear" w:pos="0"/>
        </w:tabs>
        <w:spacing w:line="590" w:lineRule="exact"/>
        <w:ind w:firstLine="642"/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b/>
          <w:sz w:val="32"/>
          <w:szCs w:val="32"/>
        </w:rPr>
        <w:t>（7）</w:t>
      </w:r>
      <w:r>
        <w:rPr>
          <w:rStyle w:val="8"/>
          <w:rFonts w:hint="eastAsia" w:ascii="仿宋_GB2312" w:hAnsi="仿宋" w:eastAsia="仿宋_GB2312" w:cs="仿宋"/>
          <w:sz w:val="32"/>
          <w:szCs w:val="32"/>
        </w:rPr>
        <w:t>下丘脑和垂体激素及相关物质:</w:t>
      </w: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>卵泡刺激素（FSH）、促甲状腺刺激激（TSH）;</w:t>
      </w:r>
    </w:p>
    <w:p>
      <w:pPr>
        <w:pStyle w:val="2"/>
        <w:tabs>
          <w:tab w:val="clear" w:pos="0"/>
        </w:tabs>
        <w:spacing w:line="590" w:lineRule="exact"/>
        <w:ind w:firstLine="642"/>
        <w:rPr>
          <w:rStyle w:val="8"/>
          <w:rFonts w:hint="eastAsia" w:ascii="仿宋_GB2312" w:hAnsi="仿宋" w:eastAsia="仿宋_GB2312" w:cs="仿宋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b/>
          <w:sz w:val="32"/>
          <w:szCs w:val="32"/>
        </w:rPr>
        <w:t>（8）</w:t>
      </w:r>
      <w:r>
        <w:rPr>
          <w:rStyle w:val="8"/>
          <w:rFonts w:hint="eastAsia" w:ascii="仿宋_GB2312" w:hAnsi="仿宋" w:eastAsia="仿宋_GB2312" w:cs="仿宋"/>
          <w:sz w:val="32"/>
          <w:szCs w:val="32"/>
        </w:rPr>
        <w:t>甲状腺激素及其结合蛋白检查:</w:t>
      </w: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>游离三碘甲状原氨酸（FT3、游离甲状腺素（FT4）、三碘甲状原氨酸（T3）、甲状腺素（T4）;</w:t>
      </w:r>
    </w:p>
    <w:p>
      <w:pPr>
        <w:pStyle w:val="2"/>
        <w:tabs>
          <w:tab w:val="clear" w:pos="0"/>
        </w:tabs>
        <w:spacing w:line="590" w:lineRule="exact"/>
        <w:ind w:firstLine="642"/>
        <w:rPr>
          <w:rStyle w:val="8"/>
          <w:rFonts w:hint="eastAsia" w:ascii="仿宋_GB2312" w:hAnsi="仿宋" w:eastAsia="仿宋_GB2312" w:cs="仿宋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sz w:val="32"/>
          <w:szCs w:val="32"/>
        </w:rPr>
        <w:t>（9）性腺激素及相关物质:</w:t>
      </w: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>绒毛膜促性腺激素（HCG）、绒毛膜促性腺激素β（β-HCG）.</w:t>
      </w:r>
    </w:p>
    <w:p>
      <w:pPr>
        <w:pStyle w:val="2"/>
        <w:tabs>
          <w:tab w:val="clear" w:pos="0"/>
        </w:tabs>
        <w:spacing w:line="590" w:lineRule="exact"/>
        <w:rPr>
          <w:rStyle w:val="8"/>
          <w:rFonts w:hint="eastAsia" w:ascii="仿宋_GB2312" w:hAnsi="仿宋" w:eastAsia="仿宋_GB2312" w:cs="仿宋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 xml:space="preserve">    </w:t>
      </w:r>
      <w:r>
        <w:rPr>
          <w:rStyle w:val="8"/>
          <w:rFonts w:hint="eastAsia" w:ascii="仿宋_GB2312" w:hAnsi="仿宋" w:eastAsia="仿宋_GB2312" w:cs="仿宋"/>
          <w:b/>
          <w:sz w:val="32"/>
          <w:szCs w:val="32"/>
        </w:rPr>
        <w:t>4.</w:t>
      </w:r>
      <w:r>
        <w:rPr>
          <w:rStyle w:val="8"/>
          <w:rFonts w:hint="eastAsia" w:ascii="仿宋_GB2312" w:hAnsi="仿宋" w:eastAsia="仿宋_GB2312" w:cs="仿宋"/>
          <w:sz w:val="32"/>
          <w:szCs w:val="32"/>
        </w:rPr>
        <w:t>临床免疫学</w:t>
      </w:r>
    </w:p>
    <w:p>
      <w:pPr>
        <w:pStyle w:val="2"/>
        <w:tabs>
          <w:tab w:val="clear" w:pos="0"/>
        </w:tabs>
        <w:spacing w:line="590" w:lineRule="exact"/>
        <w:ind w:firstLine="640"/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sz w:val="32"/>
          <w:szCs w:val="32"/>
        </w:rPr>
        <w:t>(1)补体/免疫球蛋白/相关蛋白:</w:t>
      </w: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>补体3（C3）、补体4（C4）、免疫球蛋白G （IgG）、免疫球蛋白M （IgM）、免疫球蛋白A （IgA）;</w:t>
      </w:r>
    </w:p>
    <w:p>
      <w:pPr>
        <w:pStyle w:val="2"/>
        <w:tabs>
          <w:tab w:val="clear" w:pos="0"/>
        </w:tabs>
        <w:spacing w:line="590" w:lineRule="exact"/>
        <w:ind w:firstLine="640"/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sz w:val="32"/>
          <w:szCs w:val="32"/>
        </w:rPr>
        <w:t>(2)肝炎病毒/人类免疫缺陷病毒 /梅毒螺旋体标志物:</w:t>
      </w: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>抗丙型肝炎病毒抗体（HCV-Ab）、乙型肝炎病毒表面抗原 （HBsAg）、抗乙型肝炎病毒表面抗体（HBsAb）、乙型肝炎病毒e抗原 （HBeAg）、抗乙型肝炎病毒e抗体（HBeAb）、抗乙型肝炎病毒核心抗体（HBcAb）、抗人免疫缺陷病毒抗体（HIV-Ab）、抗梅毒螺旋体抗体;</w:t>
      </w:r>
    </w:p>
    <w:p>
      <w:pPr>
        <w:pStyle w:val="2"/>
        <w:tabs>
          <w:tab w:val="clear" w:pos="0"/>
        </w:tabs>
        <w:spacing w:line="590" w:lineRule="exact"/>
        <w:ind w:firstLine="640"/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sz w:val="32"/>
          <w:szCs w:val="32"/>
        </w:rPr>
        <w:t>(3)肿瘤标志物:</w:t>
      </w: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>癌胚抗原(CEA)、甲胎蛋白(AFP)、总前列腺特异性抗原（tPSA）、游离前列腺特异性抗原（fPSA）。</w:t>
      </w:r>
    </w:p>
    <w:p>
      <w:pPr>
        <w:pStyle w:val="2"/>
        <w:tabs>
          <w:tab w:val="clear" w:pos="0"/>
        </w:tabs>
        <w:spacing w:line="590" w:lineRule="exact"/>
        <w:ind w:firstLine="640"/>
        <w:rPr>
          <w:rStyle w:val="8"/>
          <w:rFonts w:hint="eastAsia" w:ascii="仿宋_GB2312" w:hAnsi="仿宋" w:eastAsia="仿宋_GB2312" w:cs="仿宋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sz w:val="32"/>
          <w:szCs w:val="32"/>
        </w:rPr>
        <w:t>5.临床微生物学</w:t>
      </w:r>
    </w:p>
    <w:p>
      <w:pPr>
        <w:pStyle w:val="2"/>
        <w:tabs>
          <w:tab w:val="clear" w:pos="0"/>
        </w:tabs>
        <w:spacing w:line="590" w:lineRule="exact"/>
        <w:ind w:firstLine="640"/>
        <w:rPr>
          <w:rStyle w:val="8"/>
          <w:rFonts w:hint="eastAsia" w:ascii="仿宋_GB2312" w:hAnsi="仿宋" w:eastAsia="仿宋_GB2312" w:cs="仿宋"/>
          <w:b w:val="0"/>
          <w:bCs w:val="0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b w:val="0"/>
          <w:bCs/>
          <w:sz w:val="32"/>
          <w:szCs w:val="32"/>
        </w:rPr>
        <w:t>细菌培养+鉴定、药敏试验。</w:t>
      </w:r>
    </w:p>
    <w:p>
      <w:pPr>
        <w:pStyle w:val="2"/>
        <w:numPr>
          <w:ilvl w:val="0"/>
          <w:numId w:val="4"/>
        </w:numPr>
        <w:tabs>
          <w:tab w:val="clear" w:pos="0"/>
        </w:tabs>
        <w:spacing w:line="590" w:lineRule="exact"/>
        <w:ind w:firstLine="640"/>
        <w:rPr>
          <w:rStyle w:val="8"/>
          <w:rFonts w:hint="eastAsia" w:ascii="仿宋_GB2312" w:hAnsi="仿宋" w:eastAsia="仿宋_GB2312" w:cs="仿宋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sz w:val="32"/>
          <w:szCs w:val="32"/>
        </w:rPr>
        <w:t>红细胞血型</w:t>
      </w:r>
    </w:p>
    <w:p>
      <w:pPr>
        <w:pStyle w:val="2"/>
        <w:tabs>
          <w:tab w:val="clear" w:pos="0"/>
        </w:tabs>
        <w:spacing w:line="590" w:lineRule="exact"/>
        <w:rPr>
          <w:rFonts w:hint="eastAsia" w:ascii="仿宋_GB2312" w:hAnsi="仿宋" w:eastAsia="仿宋_GB2312" w:cs="仿宋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 xml:space="preserve">    ABO血型正定型、RhD血型（RhD抗原）、ABO血型反定型。</w:t>
      </w:r>
    </w:p>
    <w:p>
      <w:pPr>
        <w:pStyle w:val="2"/>
        <w:tabs>
          <w:tab w:val="clear" w:pos="0"/>
        </w:tabs>
        <w:spacing w:line="590" w:lineRule="exact"/>
        <w:rPr>
          <w:rStyle w:val="8"/>
          <w:rFonts w:hint="eastAsia" w:ascii="仿宋_GB2312" w:hAnsi="仿宋" w:eastAsia="仿宋_GB2312" w:cs="仿宋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sz w:val="32"/>
          <w:szCs w:val="32"/>
        </w:rPr>
        <w:t xml:space="preserve">    7.分子诊断</w:t>
      </w:r>
    </w:p>
    <w:p>
      <w:pPr>
        <w:pStyle w:val="2"/>
        <w:tabs>
          <w:tab w:val="clear" w:pos="0"/>
        </w:tabs>
        <w:spacing w:line="590" w:lineRule="exact"/>
        <w:rPr>
          <w:rFonts w:hint="eastAsia" w:ascii="仿宋_GB2312" w:hAnsi="仿宋" w:eastAsia="仿宋_GB2312" w:cs="仿宋"/>
          <w:color w:val="000000"/>
          <w:sz w:val="32"/>
          <w:szCs w:val="32"/>
        </w:rPr>
      </w:pPr>
      <w:r>
        <w:rPr>
          <w:rStyle w:val="8"/>
          <w:rFonts w:hint="eastAsia" w:ascii="仿宋_GB2312" w:hAnsi="仿宋" w:eastAsia="仿宋_GB2312" w:cs="仿宋"/>
          <w:b w:val="0"/>
          <w:sz w:val="32"/>
          <w:szCs w:val="32"/>
        </w:rPr>
        <w:t xml:space="preserve">    乙型肝炎病毒脱氧核糖核酸（HBV DNA）。</w:t>
      </w:r>
      <w:bookmarkEnd w:id="0"/>
      <w:bookmarkEnd w:id="1"/>
    </w:p>
    <w:p>
      <w:bookmarkStart w:id="2" w:name="_GoBack"/>
      <w:bookmarkEnd w:id="2"/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814" w:right="1474" w:bottom="1701" w:left="1588" w:header="851" w:footer="1588" w:gutter="0"/>
      <w:pgNumType w:start="7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left="210" w:leftChars="100" w:right="210" w:rightChars="100"/>
      <w:jc w:val="right"/>
      <w:rPr>
        <w:rStyle w:val="7"/>
        <w:rFonts w:hint="eastAsia"/>
        <w:sz w:val="28"/>
        <w:szCs w:val="28"/>
      </w:rPr>
    </w:pPr>
    <w:r>
      <w:rPr>
        <w:rStyle w:val="7"/>
        <w:rFonts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7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ind w:firstLine="280" w:firstLineChars="100"/>
      <w:rPr>
        <w:rStyle w:val="7"/>
        <w:rFonts w:hint="eastAsia"/>
        <w:sz w:val="28"/>
        <w:szCs w:val="28"/>
      </w:rPr>
    </w:pPr>
    <w:r>
      <w:rPr>
        <w:rStyle w:val="7"/>
        <w:rFonts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8</w:t>
    </w:r>
    <w:r>
      <w:rPr>
        <w:rFonts w:ascii="宋体" w:hAnsi="宋体"/>
        <w:sz w:val="28"/>
        <w:szCs w:val="28"/>
      </w:rPr>
      <w:fldChar w:fldCharType="end"/>
    </w:r>
    <w:r>
      <w:rPr>
        <w:rStyle w:val="7"/>
        <w:rFonts w:hint="eastAsia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B580B3"/>
    <w:multiLevelType w:val="singleLevel"/>
    <w:tmpl w:val="60B580B3"/>
    <w:lvl w:ilvl="0" w:tentative="0">
      <w:start w:val="2"/>
      <w:numFmt w:val="chineseCounting"/>
      <w:suff w:val="nothing"/>
      <w:lvlText w:val="（%1）"/>
      <w:lvlJc w:val="left"/>
    </w:lvl>
  </w:abstractNum>
  <w:abstractNum w:abstractNumId="1">
    <w:nsid w:val="60B58584"/>
    <w:multiLevelType w:val="singleLevel"/>
    <w:tmpl w:val="60B58584"/>
    <w:lvl w:ilvl="0" w:tentative="0">
      <w:start w:val="6"/>
      <w:numFmt w:val="decimal"/>
      <w:suff w:val="nothing"/>
      <w:lvlText w:val="%1."/>
      <w:lvlJc w:val="left"/>
    </w:lvl>
  </w:abstractNum>
  <w:abstractNum w:abstractNumId="2">
    <w:nsid w:val="610755FA"/>
    <w:multiLevelType w:val="singleLevel"/>
    <w:tmpl w:val="610755FA"/>
    <w:lvl w:ilvl="0" w:tentative="0">
      <w:start w:val="3"/>
      <w:numFmt w:val="decimal"/>
      <w:suff w:val="nothing"/>
      <w:lvlText w:val="%1."/>
      <w:lvlJc w:val="left"/>
    </w:lvl>
  </w:abstractNum>
  <w:abstractNum w:abstractNumId="3">
    <w:nsid w:val="61075624"/>
    <w:multiLevelType w:val="singleLevel"/>
    <w:tmpl w:val="61075624"/>
    <w:lvl w:ilvl="0" w:tentative="0">
      <w:start w:val="3"/>
      <w:numFmt w:val="decimal"/>
      <w:suff w:val="nothing"/>
      <w:lvlText w:val="（%1）"/>
      <w:lvlJc w:val="left"/>
      <w:rPr>
        <w:b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4D77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tabs>
        <w:tab w:val="left" w:pos="0"/>
      </w:tabs>
      <w:spacing w:line="360" w:lineRule="exact"/>
      <w:outlineLvl w:val="0"/>
    </w:pPr>
    <w:rPr>
      <w:rFonts w:ascii="宋体" w:hAnsi="宋体" w:cs="宋体"/>
      <w:kern w:val="44"/>
      <w:sz w:val="24"/>
      <w:szCs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16"/>
    <w:qFormat/>
    <w:uiPriority w:val="99"/>
    <w:rPr>
      <w:rFonts w:ascii="Calibri" w:hAnsi="Calibri" w:cs="Calibri"/>
      <w:b/>
      <w:bCs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2021-08-12T00:52:05Z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2052-11.1.0.10502</vt:lpwstr>
  </property>
  <property fmtid="{D5CDD505-2E9C-101B-9397-08002B2CF9AE}" pid="3" name="ICV">
    <vt:lpwstr>361B582F4CB94C7897DE1D9EA57C601A</vt:lpwstr>
  </property>
</Properties>
</file>