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800" w:lineRule="exact"/>
        <w:outlineLvl w:val="0"/>
        <w:rPr>
          <w:rFonts w:hAnsi="宋体"/>
          <w:b/>
          <w:sz w:val="72"/>
        </w:rPr>
      </w:pPr>
    </w:p>
    <w:p>
      <w:pPr>
        <w:pStyle w:val="14"/>
        <w:spacing w:line="800" w:lineRule="exact"/>
        <w:jc w:val="center"/>
        <w:outlineLvl w:val="0"/>
        <w:rPr>
          <w:rFonts w:hAnsi="宋体"/>
          <w:b/>
          <w:sz w:val="72"/>
        </w:rPr>
      </w:pPr>
      <w:r>
        <w:rPr>
          <w:rFonts w:hint="eastAsia" w:hAnsi="宋体"/>
          <w:b/>
          <w:sz w:val="72"/>
        </w:rPr>
        <w:t>机电产品国际招标</w:t>
      </w:r>
    </w:p>
    <w:p>
      <w:pPr>
        <w:pStyle w:val="14"/>
        <w:spacing w:line="800" w:lineRule="exact"/>
        <w:jc w:val="center"/>
        <w:outlineLvl w:val="0"/>
        <w:rPr>
          <w:rFonts w:hAnsi="宋体"/>
          <w:b/>
          <w:sz w:val="72"/>
        </w:rPr>
      </w:pPr>
      <w:r>
        <w:rPr>
          <w:rFonts w:hint="eastAsia" w:hAnsi="宋体"/>
          <w:b/>
          <w:sz w:val="72"/>
        </w:rPr>
        <w:t xml:space="preserve">标准招标文件 </w:t>
      </w:r>
    </w:p>
    <w:p>
      <w:pPr>
        <w:pStyle w:val="14"/>
        <w:spacing w:line="800" w:lineRule="exact"/>
        <w:jc w:val="center"/>
        <w:outlineLvl w:val="0"/>
        <w:rPr>
          <w:rFonts w:hAnsi="宋体"/>
          <w:b/>
          <w:sz w:val="72"/>
        </w:rPr>
      </w:pPr>
    </w:p>
    <w:p>
      <w:pPr>
        <w:pStyle w:val="14"/>
        <w:spacing w:line="800" w:lineRule="exact"/>
        <w:jc w:val="center"/>
        <w:outlineLvl w:val="0"/>
        <w:rPr>
          <w:rFonts w:hAnsi="宋体"/>
          <w:b/>
          <w:sz w:val="30"/>
        </w:rPr>
      </w:pPr>
      <w:r>
        <w:rPr>
          <w:rFonts w:hint="eastAsia" w:hAnsi="宋体"/>
          <w:b/>
          <w:sz w:val="30"/>
        </w:rPr>
        <w:t>（第二册：投标邀请、投标资料表、合同资料表、</w:t>
      </w:r>
    </w:p>
    <w:p>
      <w:pPr>
        <w:pStyle w:val="14"/>
        <w:spacing w:line="800" w:lineRule="exact"/>
        <w:jc w:val="center"/>
        <w:outlineLvl w:val="0"/>
        <w:rPr>
          <w:rFonts w:hAnsi="宋体"/>
          <w:b/>
          <w:sz w:val="30"/>
        </w:rPr>
      </w:pPr>
      <w:r>
        <w:rPr>
          <w:rFonts w:hint="eastAsia" w:hAnsi="宋体"/>
          <w:b/>
          <w:sz w:val="30"/>
        </w:rPr>
        <w:t>货物需求一览表及技术规格）</w:t>
      </w:r>
    </w:p>
    <w:p>
      <w:pPr>
        <w:pStyle w:val="14"/>
        <w:spacing w:line="800" w:lineRule="exact"/>
        <w:jc w:val="center"/>
        <w:outlineLvl w:val="0"/>
        <w:rPr>
          <w:rFonts w:hAnsi="宋体"/>
          <w:b/>
          <w:sz w:val="30"/>
        </w:rPr>
      </w:pPr>
    </w:p>
    <w:p>
      <w:pPr>
        <w:pStyle w:val="14"/>
        <w:spacing w:line="800" w:lineRule="exact"/>
        <w:jc w:val="center"/>
        <w:outlineLvl w:val="0"/>
        <w:rPr>
          <w:rFonts w:hAnsi="宋体"/>
          <w:b/>
          <w:sz w:val="30"/>
        </w:rPr>
      </w:pPr>
    </w:p>
    <w:p>
      <w:pPr>
        <w:pStyle w:val="14"/>
        <w:spacing w:line="280" w:lineRule="exact"/>
        <w:jc w:val="center"/>
        <w:outlineLvl w:val="0"/>
        <w:rPr>
          <w:rFonts w:hAnsi="宋体"/>
          <w:b/>
          <w:sz w:val="30"/>
        </w:rPr>
      </w:pPr>
    </w:p>
    <w:p>
      <w:pPr>
        <w:pStyle w:val="14"/>
        <w:spacing w:line="280" w:lineRule="exact"/>
        <w:jc w:val="center"/>
        <w:outlineLvl w:val="0"/>
        <w:rPr>
          <w:rFonts w:hAnsi="宋体"/>
          <w:b/>
          <w:sz w:val="30"/>
        </w:rPr>
      </w:pPr>
    </w:p>
    <w:p>
      <w:pPr>
        <w:pStyle w:val="14"/>
        <w:spacing w:line="280" w:lineRule="exact"/>
        <w:jc w:val="center"/>
        <w:outlineLvl w:val="0"/>
        <w:rPr>
          <w:rFonts w:hAnsi="宋体"/>
          <w:b/>
          <w:sz w:val="30"/>
        </w:rPr>
      </w:pPr>
    </w:p>
    <w:p>
      <w:pPr>
        <w:pStyle w:val="14"/>
        <w:spacing w:line="280" w:lineRule="exact"/>
        <w:jc w:val="center"/>
        <w:outlineLvl w:val="0"/>
        <w:rPr>
          <w:rFonts w:hAnsi="宋体"/>
          <w:b/>
          <w:sz w:val="30"/>
        </w:rPr>
      </w:pPr>
    </w:p>
    <w:p>
      <w:pPr>
        <w:jc w:val="center"/>
        <w:rPr>
          <w:rFonts w:ascii="宋体" w:hAnsi="宋体"/>
          <w:b/>
          <w:sz w:val="30"/>
          <w:szCs w:val="20"/>
        </w:rPr>
      </w:pPr>
      <w:r>
        <w:rPr>
          <w:rFonts w:hint="eastAsia" w:ascii="宋体" w:hAnsi="宋体"/>
          <w:b/>
          <w:sz w:val="30"/>
          <w:szCs w:val="20"/>
        </w:rPr>
        <w:t>招标编号：1051-214FJXW21001</w:t>
      </w:r>
    </w:p>
    <w:p>
      <w:pPr>
        <w:jc w:val="center"/>
        <w:rPr>
          <w:rFonts w:ascii="宋体" w:hAnsi="宋体"/>
          <w:b/>
          <w:sz w:val="30"/>
          <w:szCs w:val="20"/>
        </w:rPr>
      </w:pPr>
    </w:p>
    <w:p>
      <w:pPr>
        <w:jc w:val="center"/>
        <w:rPr>
          <w:rFonts w:ascii="宋体" w:hAnsi="宋体"/>
          <w:b/>
          <w:sz w:val="30"/>
          <w:szCs w:val="20"/>
        </w:rPr>
      </w:pPr>
    </w:p>
    <w:p>
      <w:pPr>
        <w:pStyle w:val="14"/>
        <w:spacing w:line="280" w:lineRule="exact"/>
        <w:jc w:val="center"/>
        <w:rPr>
          <w:rFonts w:hAnsi="宋体"/>
          <w:b/>
          <w:sz w:val="30"/>
        </w:rPr>
      </w:pPr>
    </w:p>
    <w:p>
      <w:pPr>
        <w:ind w:left="452" w:hanging="452" w:hangingChars="150"/>
        <w:jc w:val="center"/>
        <w:rPr>
          <w:rFonts w:hAnsi="宋体"/>
          <w:b/>
          <w:sz w:val="30"/>
        </w:rPr>
      </w:pPr>
      <w:r>
        <w:rPr>
          <w:rFonts w:hint="eastAsia" w:hAnsi="宋体"/>
          <w:b/>
          <w:sz w:val="30"/>
        </w:rPr>
        <w:t>招标项目名称：福建省部分乙类大型医用设备（2021年第一批次）</w:t>
      </w:r>
    </w:p>
    <w:p>
      <w:pPr>
        <w:ind w:left="452" w:hanging="452" w:hangingChars="150"/>
        <w:jc w:val="center"/>
        <w:rPr>
          <w:rFonts w:hAnsi="宋体"/>
          <w:b/>
          <w:sz w:val="30"/>
        </w:rPr>
      </w:pPr>
      <w:r>
        <w:rPr>
          <w:rFonts w:hint="eastAsia" w:hAnsi="宋体"/>
          <w:b/>
          <w:sz w:val="30"/>
        </w:rPr>
        <w:t>集中采购项目</w:t>
      </w:r>
    </w:p>
    <w:p>
      <w:pPr>
        <w:ind w:left="452" w:hanging="452" w:hangingChars="150"/>
        <w:jc w:val="center"/>
        <w:rPr>
          <w:rFonts w:hAnsi="宋体"/>
          <w:b/>
          <w:sz w:val="30"/>
        </w:rPr>
      </w:pPr>
    </w:p>
    <w:p>
      <w:pPr>
        <w:ind w:left="452" w:hanging="452" w:hangingChars="150"/>
        <w:jc w:val="center"/>
        <w:rPr>
          <w:rFonts w:hAnsi="宋体"/>
          <w:b/>
          <w:sz w:val="30"/>
        </w:rPr>
      </w:pPr>
      <w:r>
        <w:rPr>
          <w:rFonts w:hint="eastAsia" w:hAnsi="宋体"/>
          <w:b/>
          <w:sz w:val="30"/>
        </w:rPr>
        <w:t xml:space="preserve">采购人名称：福建省卫生健康委员会 </w:t>
      </w:r>
    </w:p>
    <w:p>
      <w:pPr>
        <w:pStyle w:val="14"/>
        <w:spacing w:line="400" w:lineRule="exact"/>
        <w:rPr>
          <w:rFonts w:hAnsi="宋体"/>
          <w:b/>
          <w:sz w:val="28"/>
        </w:rPr>
      </w:pPr>
    </w:p>
    <w:p>
      <w:pPr>
        <w:pStyle w:val="14"/>
        <w:spacing w:line="400" w:lineRule="exact"/>
        <w:rPr>
          <w:rFonts w:hAnsi="宋体"/>
          <w:b/>
          <w:sz w:val="32"/>
        </w:rPr>
      </w:pPr>
      <w:r>
        <w:rPr>
          <w:rFonts w:hint="eastAsia" w:hAnsi="宋体"/>
          <w:b/>
          <w:sz w:val="32"/>
        </w:rPr>
        <w:t xml:space="preserve">                     二0二一年四月</w:t>
      </w:r>
    </w:p>
    <w:p>
      <w:pPr>
        <w:rPr>
          <w:rFonts w:cs="宋体;SimSun" w:asciiTheme="majorEastAsia" w:hAnsiTheme="majorEastAsia" w:eastAsiaTheme="majorEastAsia"/>
          <w:b/>
          <w:sz w:val="36"/>
        </w:rPr>
      </w:pPr>
      <w:r>
        <w:rPr>
          <w:rFonts w:cs="宋体;SimSun" w:asciiTheme="majorEastAsia" w:hAnsiTheme="majorEastAsia" w:eastAsiaTheme="majorEastAsia"/>
          <w:b/>
          <w:sz w:val="36"/>
        </w:rPr>
        <w:br w:type="page"/>
      </w:r>
    </w:p>
    <w:p>
      <w:pPr>
        <w:spacing w:line="400" w:lineRule="exact"/>
        <w:jc w:val="center"/>
        <w:rPr>
          <w:rFonts w:cs="宋体;SimSun" w:asciiTheme="majorEastAsia" w:hAnsiTheme="majorEastAsia" w:eastAsiaTheme="majorEastAsia"/>
          <w:b/>
          <w:sz w:val="36"/>
        </w:rPr>
      </w:pPr>
      <w:r>
        <w:rPr>
          <w:rFonts w:cs="宋体;SimSun" w:asciiTheme="majorEastAsia" w:hAnsiTheme="majorEastAsia" w:eastAsiaTheme="majorEastAsia"/>
          <w:b/>
          <w:sz w:val="36"/>
        </w:rPr>
        <w:t xml:space="preserve">第五章   投 标 邀 请 </w:t>
      </w:r>
    </w:p>
    <w:p>
      <w:pPr>
        <w:spacing w:line="400" w:lineRule="exact"/>
        <w:jc w:val="center"/>
        <w:rPr>
          <w:rFonts w:cs="宋体;SimSun" w:asciiTheme="majorEastAsia" w:hAnsiTheme="majorEastAsia" w:eastAsiaTheme="majorEastAsia"/>
          <w:b/>
          <w:sz w:val="36"/>
        </w:rPr>
      </w:pPr>
    </w:p>
    <w:p>
      <w:pPr>
        <w:spacing w:line="280" w:lineRule="exact"/>
        <w:rPr>
          <w:rFonts w:cs="宋体;SimSun" w:asciiTheme="majorEastAsia" w:hAnsiTheme="majorEastAsia" w:eastAsiaTheme="majorEastAsia"/>
          <w:b/>
          <w:sz w:val="36"/>
        </w:rPr>
      </w:pPr>
    </w:p>
    <w:p>
      <w:pPr>
        <w:spacing w:line="440" w:lineRule="exact"/>
        <w:rPr>
          <w:rFonts w:cs="宋体;SimSun" w:asciiTheme="majorEastAsia" w:hAnsiTheme="majorEastAsia" w:eastAsiaTheme="majorEastAsia"/>
          <w:b/>
          <w:sz w:val="24"/>
        </w:rPr>
      </w:pPr>
      <w:r>
        <w:rPr>
          <w:rFonts w:hint="eastAsia" w:cs="宋体;SimSun" w:asciiTheme="majorEastAsia" w:hAnsiTheme="majorEastAsia" w:eastAsiaTheme="majorEastAsia"/>
          <w:b/>
          <w:sz w:val="24"/>
        </w:rPr>
        <w:t>发布招标公告</w:t>
      </w:r>
      <w:r>
        <w:rPr>
          <w:rFonts w:cs="宋体;SimSun" w:asciiTheme="majorEastAsia" w:hAnsiTheme="majorEastAsia" w:eastAsiaTheme="majorEastAsia"/>
          <w:b/>
          <w:sz w:val="24"/>
        </w:rPr>
        <w:t>日期：</w:t>
      </w:r>
      <w:r>
        <w:rPr>
          <w:rFonts w:hint="eastAsia" w:cs="宋体;SimSun" w:asciiTheme="majorEastAsia" w:hAnsiTheme="majorEastAsia" w:eastAsiaTheme="majorEastAsia"/>
          <w:sz w:val="24"/>
          <w:highlight w:val="none"/>
          <w:u w:val="single"/>
        </w:rPr>
        <w:t>2021</w:t>
      </w:r>
      <w:r>
        <w:rPr>
          <w:rFonts w:cs="宋体;SimSun" w:asciiTheme="majorEastAsia" w:hAnsiTheme="majorEastAsia" w:eastAsiaTheme="majorEastAsia"/>
          <w:sz w:val="24"/>
          <w:highlight w:val="none"/>
          <w:u w:val="single"/>
        </w:rPr>
        <w:t>年</w:t>
      </w:r>
      <w:r>
        <w:rPr>
          <w:rFonts w:hint="eastAsia" w:cs="宋体;SimSun" w:asciiTheme="majorEastAsia" w:hAnsiTheme="majorEastAsia" w:eastAsiaTheme="majorEastAsia"/>
          <w:sz w:val="24"/>
          <w:highlight w:val="none"/>
          <w:u w:val="single"/>
        </w:rPr>
        <w:t xml:space="preserve">  </w:t>
      </w:r>
      <w:r>
        <w:rPr>
          <w:rFonts w:cs="宋体;SimSun" w:asciiTheme="majorEastAsia" w:hAnsiTheme="majorEastAsia" w:eastAsiaTheme="majorEastAsia"/>
          <w:sz w:val="24"/>
          <w:highlight w:val="none"/>
          <w:u w:val="single"/>
        </w:rPr>
        <w:t>月</w:t>
      </w:r>
      <w:r>
        <w:rPr>
          <w:rFonts w:hint="eastAsia" w:cs="宋体;SimSun" w:asciiTheme="majorEastAsia" w:hAnsiTheme="majorEastAsia" w:eastAsiaTheme="majorEastAsia"/>
          <w:sz w:val="24"/>
          <w:highlight w:val="none"/>
          <w:u w:val="single"/>
        </w:rPr>
        <w:t xml:space="preserve">  </w:t>
      </w:r>
      <w:r>
        <w:rPr>
          <w:rFonts w:cs="宋体;SimSun" w:asciiTheme="majorEastAsia" w:hAnsiTheme="majorEastAsia" w:eastAsiaTheme="majorEastAsia"/>
          <w:sz w:val="24"/>
          <w:highlight w:val="none"/>
          <w:u w:val="single"/>
        </w:rPr>
        <w:t>日</w:t>
      </w:r>
    </w:p>
    <w:p>
      <w:pPr>
        <w:spacing w:line="440" w:lineRule="exact"/>
        <w:rPr>
          <w:rFonts w:asciiTheme="majorEastAsia" w:hAnsiTheme="majorEastAsia" w:eastAsiaTheme="majorEastAsia"/>
        </w:rPr>
      </w:pPr>
      <w:r>
        <w:rPr>
          <w:rFonts w:cs="宋体;SimSun" w:asciiTheme="majorEastAsia" w:hAnsiTheme="majorEastAsia" w:eastAsiaTheme="majorEastAsia"/>
          <w:sz w:val="24"/>
        </w:rPr>
        <w:t>招标编号：</w:t>
      </w:r>
      <w:r>
        <w:rPr>
          <w:rFonts w:hint="eastAsia" w:cs="宋体;SimSun" w:asciiTheme="majorEastAsia" w:hAnsiTheme="majorEastAsia" w:eastAsiaTheme="majorEastAsia"/>
          <w:sz w:val="24"/>
          <w:u w:val="single"/>
        </w:rPr>
        <w:t xml:space="preserve">1051-214FJXW21001  </w:t>
      </w:r>
      <w:r>
        <w:rPr>
          <w:rFonts w:hint="eastAsia" w:cs="宋体;SimSun" w:asciiTheme="majorEastAsia" w:hAnsiTheme="majorEastAsia" w:eastAsiaTheme="majorEastAsia"/>
          <w:b/>
          <w:sz w:val="24"/>
          <w:u w:val="single"/>
        </w:rPr>
        <w:t xml:space="preserve">               </w:t>
      </w:r>
      <w:r>
        <w:rPr>
          <w:rFonts w:hint="eastAsia" w:cs="宋体;SimSun" w:asciiTheme="majorEastAsia" w:hAnsiTheme="majorEastAsia" w:eastAsiaTheme="majorEastAsia"/>
          <w:sz w:val="24"/>
        </w:rPr>
        <w:t xml:space="preserve">  </w:t>
      </w:r>
      <w:r>
        <w:rPr>
          <w:rFonts w:cs="宋体;SimSun" w:asciiTheme="majorEastAsia" w:hAnsiTheme="majorEastAsia" w:eastAsiaTheme="majorEastAsia"/>
          <w:sz w:val="24"/>
        </w:rPr>
        <w:t xml:space="preserve"> </w:t>
      </w:r>
    </w:p>
    <w:p>
      <w:pPr>
        <w:tabs>
          <w:tab w:val="left" w:pos="0"/>
        </w:tabs>
        <w:spacing w:line="440" w:lineRule="exact"/>
        <w:ind w:right="-359" w:firstLine="480"/>
        <w:rPr>
          <w:rFonts w:cs="宋体;SimSun" w:asciiTheme="majorEastAsia" w:hAnsiTheme="majorEastAsia" w:eastAsiaTheme="majorEastAsia"/>
          <w:sz w:val="24"/>
          <w:u w:val="single"/>
        </w:rPr>
      </w:pPr>
      <w:r>
        <w:rPr>
          <w:rFonts w:cs="宋体;SimSun" w:asciiTheme="majorEastAsia" w:hAnsiTheme="majorEastAsia" w:eastAsiaTheme="majorEastAsia"/>
          <w:sz w:val="24"/>
        </w:rPr>
        <w:t>1．</w:t>
      </w:r>
      <w:r>
        <w:rPr>
          <w:rFonts w:hint="eastAsia" w:cs="宋体;SimSun" w:asciiTheme="majorEastAsia" w:hAnsiTheme="majorEastAsia" w:eastAsiaTheme="majorEastAsia"/>
          <w:sz w:val="24"/>
          <w:u w:val="single"/>
        </w:rPr>
        <w:t>福建省新卫招标代理有限公司</w:t>
      </w:r>
      <w:r>
        <w:rPr>
          <w:rFonts w:cs="宋体;SimSun" w:asciiTheme="majorEastAsia" w:hAnsiTheme="majorEastAsia" w:eastAsiaTheme="majorEastAsia"/>
          <w:sz w:val="24"/>
        </w:rPr>
        <w:t>（以下简称“招标代理机构”）受招标人委托，邀请合格投标人就</w:t>
      </w:r>
      <w:r>
        <w:rPr>
          <w:rFonts w:hint="eastAsia" w:cs="宋体;SimSun" w:asciiTheme="majorEastAsia" w:hAnsiTheme="majorEastAsia" w:eastAsiaTheme="majorEastAsia"/>
          <w:b/>
          <w:sz w:val="24"/>
          <w:u w:val="single"/>
        </w:rPr>
        <w:t>福建省部分乙类大型医用设备（2021年第一批次）集中采购项目</w:t>
      </w:r>
      <w:r>
        <w:rPr>
          <w:rFonts w:cs="宋体;SimSun" w:asciiTheme="majorEastAsia" w:hAnsiTheme="majorEastAsia" w:eastAsiaTheme="majorEastAsia"/>
          <w:sz w:val="24"/>
        </w:rPr>
        <w:t>的下列货物和有关服务提交密封</w:t>
      </w:r>
      <w:r>
        <w:rPr>
          <w:rFonts w:hint="eastAsia" w:cs="宋体;SimSun" w:asciiTheme="majorEastAsia" w:hAnsiTheme="majorEastAsia" w:eastAsiaTheme="majorEastAsia"/>
          <w:sz w:val="24"/>
        </w:rPr>
        <w:t>的</w:t>
      </w:r>
      <w:r>
        <w:rPr>
          <w:rFonts w:cs="宋体;SimSun" w:asciiTheme="majorEastAsia" w:hAnsiTheme="majorEastAsia" w:eastAsiaTheme="majorEastAsia"/>
          <w:sz w:val="24"/>
        </w:rPr>
        <w:t>投标</w:t>
      </w:r>
      <w:r>
        <w:rPr>
          <w:rFonts w:hint="eastAsia" w:cs="宋体;SimSun" w:asciiTheme="majorEastAsia" w:hAnsiTheme="majorEastAsia" w:eastAsiaTheme="majorEastAsia"/>
          <w:sz w:val="24"/>
        </w:rPr>
        <w:t>文件</w:t>
      </w:r>
      <w:r>
        <w:rPr>
          <w:rFonts w:cs="宋体;SimSun" w:asciiTheme="majorEastAsia" w:hAnsiTheme="majorEastAsia" w:eastAsiaTheme="majorEastAsia"/>
          <w:sz w:val="24"/>
        </w:rPr>
        <w:t>：</w:t>
      </w:r>
    </w:p>
    <w:p>
      <w:pPr>
        <w:tabs>
          <w:tab w:val="left" w:pos="0"/>
        </w:tabs>
        <w:spacing w:line="440" w:lineRule="exact"/>
        <w:ind w:firstLine="480"/>
        <w:rPr>
          <w:rFonts w:cs="宋体;SimSun" w:asciiTheme="majorEastAsia" w:hAnsiTheme="majorEastAsia" w:eastAsiaTheme="majorEastAsia"/>
          <w:sz w:val="24"/>
        </w:rPr>
      </w:pPr>
      <w:r>
        <w:rPr>
          <w:rFonts w:cs="宋体;SimSun" w:asciiTheme="majorEastAsia" w:hAnsiTheme="majorEastAsia" w:eastAsiaTheme="majorEastAsia"/>
          <w:bCs/>
          <w:sz w:val="24"/>
        </w:rPr>
        <w:t>招标货物名称及数量：</w:t>
      </w:r>
      <w:r>
        <w:rPr>
          <w:rFonts w:hint="eastAsia" w:cs="宋体;SimSun" w:asciiTheme="majorEastAsia" w:hAnsiTheme="majorEastAsia" w:eastAsiaTheme="majorEastAsia"/>
          <w:bCs/>
          <w:sz w:val="24"/>
          <w:u w:val="single"/>
        </w:rPr>
        <w:t>合同包1:超高端CT（数量：6台）；合同包2:高端3.0T磁共振成像系统（数量</w:t>
      </w:r>
      <w:r>
        <w:rPr>
          <w:rFonts w:hint="eastAsia" w:cs="宋体;SimSun" w:asciiTheme="majorEastAsia" w:hAnsiTheme="majorEastAsia" w:eastAsiaTheme="majorEastAsia"/>
          <w:sz w:val="24"/>
          <w:u w:val="single"/>
        </w:rPr>
        <w:t>：3台）</w:t>
      </w:r>
      <w:r>
        <w:rPr>
          <w:rFonts w:cs="宋体;SimSun" w:asciiTheme="majorEastAsia" w:hAnsiTheme="majorEastAsia" w:eastAsiaTheme="majorEastAsia"/>
          <w:sz w:val="24"/>
        </w:rPr>
        <w:t>。</w:t>
      </w:r>
    </w:p>
    <w:p>
      <w:pPr>
        <w:tabs>
          <w:tab w:val="left" w:pos="0"/>
        </w:tabs>
        <w:spacing w:line="440" w:lineRule="exact"/>
        <w:ind w:right="-359" w:firstLine="480"/>
        <w:rPr>
          <w:rFonts w:cs="宋体;SimSun" w:asciiTheme="majorEastAsia" w:hAnsiTheme="majorEastAsia" w:eastAsiaTheme="majorEastAsia"/>
          <w:sz w:val="24"/>
        </w:rPr>
      </w:pPr>
      <w:r>
        <w:rPr>
          <w:rFonts w:cs="宋体;SimSun" w:asciiTheme="majorEastAsia" w:hAnsiTheme="majorEastAsia" w:eastAsiaTheme="majorEastAsia"/>
          <w:sz w:val="24"/>
        </w:rPr>
        <w:t>2．有意向的合格投标人可从</w:t>
      </w:r>
      <w:r>
        <w:rPr>
          <w:rFonts w:hint="eastAsia" w:cs="宋体;SimSun" w:asciiTheme="majorEastAsia" w:hAnsiTheme="majorEastAsia" w:eastAsiaTheme="majorEastAsia"/>
          <w:sz w:val="24"/>
        </w:rPr>
        <w:t>福建省新卫招标代理有限公司</w:t>
      </w:r>
      <w:r>
        <w:rPr>
          <w:rFonts w:cs="宋体;SimSun" w:asciiTheme="majorEastAsia" w:hAnsiTheme="majorEastAsia" w:eastAsiaTheme="majorEastAsia"/>
          <w:sz w:val="24"/>
        </w:rPr>
        <w:t>得到进一步的信息和查阅招标文件。</w:t>
      </w:r>
    </w:p>
    <w:p>
      <w:pPr>
        <w:tabs>
          <w:tab w:val="left" w:pos="0"/>
        </w:tabs>
        <w:spacing w:line="440" w:lineRule="exact"/>
        <w:ind w:firstLine="480"/>
        <w:rPr>
          <w:rFonts w:cs="宋体;SimSun" w:asciiTheme="majorEastAsia" w:hAnsiTheme="majorEastAsia" w:eastAsiaTheme="majorEastAsia"/>
          <w:sz w:val="24"/>
        </w:rPr>
      </w:pPr>
      <w:r>
        <w:rPr>
          <w:rFonts w:cs="宋体;SimSun" w:asciiTheme="majorEastAsia" w:hAnsiTheme="majorEastAsia" w:eastAsiaTheme="majorEastAsia"/>
          <w:sz w:val="24"/>
        </w:rPr>
        <w:t>3．招标文件售价：</w:t>
      </w:r>
      <w:r>
        <w:rPr>
          <w:rFonts w:hint="eastAsia" w:cs="宋体;SimSun" w:asciiTheme="majorEastAsia" w:hAnsiTheme="majorEastAsia" w:eastAsiaTheme="majorEastAsia"/>
          <w:sz w:val="24"/>
          <w:u w:val="single"/>
        </w:rPr>
        <w:t xml:space="preserve">     </w:t>
      </w:r>
      <w:r>
        <w:rPr>
          <w:rFonts w:cs="宋体;SimSun" w:asciiTheme="majorEastAsia" w:hAnsiTheme="majorEastAsia" w:eastAsiaTheme="majorEastAsia"/>
          <w:sz w:val="24"/>
        </w:rPr>
        <w:t>元人民币，若邮寄，另加50元，招标文件售出一概不退。</w:t>
      </w:r>
      <w:r>
        <w:rPr>
          <w:rFonts w:hint="eastAsia" w:cs="宋体;SimSun" w:asciiTheme="majorEastAsia" w:hAnsiTheme="majorEastAsia" w:eastAsiaTheme="majorEastAsia"/>
          <w:sz w:val="24"/>
        </w:rPr>
        <w:t>福建省新卫招标代理有限公司</w:t>
      </w:r>
      <w:r>
        <w:rPr>
          <w:rFonts w:cs="宋体;SimSun" w:asciiTheme="majorEastAsia" w:hAnsiTheme="majorEastAsia" w:eastAsiaTheme="majorEastAsia"/>
          <w:sz w:val="24"/>
        </w:rPr>
        <w:t>不对邮寄过程中可能发生的延误或丢失负责。</w:t>
      </w:r>
    </w:p>
    <w:p>
      <w:pPr>
        <w:tabs>
          <w:tab w:val="left" w:pos="0"/>
        </w:tabs>
        <w:spacing w:line="440" w:lineRule="exact"/>
        <w:ind w:firstLine="480"/>
        <w:rPr>
          <w:rFonts w:asciiTheme="majorEastAsia" w:hAnsiTheme="majorEastAsia" w:eastAsiaTheme="majorEastAsia"/>
          <w:highlight w:val="none"/>
        </w:rPr>
      </w:pPr>
      <w:r>
        <w:rPr>
          <w:rFonts w:cs="宋体;SimSun" w:asciiTheme="majorEastAsia" w:hAnsiTheme="majorEastAsia" w:eastAsiaTheme="majorEastAsia"/>
          <w:sz w:val="24"/>
        </w:rPr>
        <w:t>4. 所有投标文件</w:t>
      </w:r>
      <w:r>
        <w:rPr>
          <w:rFonts w:cs="宋体;SimSun" w:asciiTheme="majorEastAsia" w:hAnsiTheme="majorEastAsia" w:eastAsiaTheme="majorEastAsia"/>
          <w:sz w:val="24"/>
          <w:highlight w:val="none"/>
        </w:rPr>
        <w:t>应于</w:t>
      </w:r>
      <w:r>
        <w:rPr>
          <w:rFonts w:hint="eastAsia" w:cs="宋体;SimSun" w:asciiTheme="majorEastAsia" w:hAnsiTheme="majorEastAsia" w:eastAsiaTheme="majorEastAsia"/>
          <w:b/>
          <w:sz w:val="24"/>
          <w:highlight w:val="none"/>
          <w:u w:val="single"/>
        </w:rPr>
        <w:t>2021</w:t>
      </w:r>
      <w:r>
        <w:rPr>
          <w:rFonts w:cs="宋体;SimSun" w:asciiTheme="majorEastAsia" w:hAnsiTheme="majorEastAsia" w:eastAsiaTheme="majorEastAsia"/>
          <w:b/>
          <w:sz w:val="24"/>
          <w:highlight w:val="none"/>
          <w:u w:val="single"/>
        </w:rPr>
        <w:t>年</w:t>
      </w:r>
      <w:r>
        <w:rPr>
          <w:rFonts w:hint="eastAsia" w:cs="宋体;SimSun" w:asciiTheme="majorEastAsia" w:hAnsiTheme="majorEastAsia" w:eastAsiaTheme="majorEastAsia"/>
          <w:b/>
          <w:sz w:val="24"/>
          <w:highlight w:val="none"/>
          <w:u w:val="single"/>
        </w:rPr>
        <w:t xml:space="preserve">  月  日  </w:t>
      </w:r>
      <w:r>
        <w:rPr>
          <w:rFonts w:cs="宋体;SimSun" w:asciiTheme="majorEastAsia" w:hAnsiTheme="majorEastAsia" w:eastAsiaTheme="majorEastAsia"/>
          <w:b/>
          <w:sz w:val="24"/>
          <w:highlight w:val="none"/>
          <w:u w:val="single"/>
        </w:rPr>
        <w:t>:</w:t>
      </w:r>
      <w:r>
        <w:rPr>
          <w:rFonts w:hint="eastAsia" w:cs="宋体;SimSun" w:asciiTheme="majorEastAsia" w:hAnsiTheme="majorEastAsia" w:eastAsiaTheme="majorEastAsia"/>
          <w:b/>
          <w:sz w:val="24"/>
          <w:highlight w:val="none"/>
          <w:u w:val="single"/>
        </w:rPr>
        <w:t xml:space="preserve">  </w:t>
      </w:r>
      <w:r>
        <w:rPr>
          <w:rFonts w:cs="宋体;SimSun" w:asciiTheme="majorEastAsia" w:hAnsiTheme="majorEastAsia" w:eastAsiaTheme="majorEastAsia"/>
          <w:sz w:val="24"/>
          <w:highlight w:val="none"/>
        </w:rPr>
        <w:t>(北京时间) 之前递交到</w:t>
      </w:r>
      <w:r>
        <w:rPr>
          <w:rFonts w:hint="eastAsia" w:cs="宋体;SimSun" w:asciiTheme="majorEastAsia" w:hAnsiTheme="majorEastAsia" w:eastAsiaTheme="majorEastAsia"/>
          <w:sz w:val="24"/>
          <w:highlight w:val="none"/>
        </w:rPr>
        <w:t>福建省新卫招标代理有限公司</w:t>
      </w:r>
      <w:r>
        <w:rPr>
          <w:rFonts w:cs="宋体;SimSun" w:asciiTheme="majorEastAsia" w:hAnsiTheme="majorEastAsia" w:eastAsiaTheme="majorEastAsia"/>
          <w:sz w:val="24"/>
          <w:highlight w:val="none"/>
        </w:rPr>
        <w:t>【</w:t>
      </w:r>
      <w:r>
        <w:rPr>
          <w:rFonts w:hint="eastAsia" w:cs="宋体;SimSun" w:asciiTheme="majorEastAsia" w:hAnsiTheme="majorEastAsia" w:eastAsiaTheme="majorEastAsia"/>
          <w:b/>
          <w:sz w:val="24"/>
          <w:highlight w:val="none"/>
          <w:u w:val="single"/>
        </w:rPr>
        <w:t>福建省福州市西二环中路301号东南医药大楼六层开标厅</w:t>
      </w:r>
      <w:r>
        <w:rPr>
          <w:rFonts w:cs="宋体;SimSun" w:asciiTheme="majorEastAsia" w:hAnsiTheme="majorEastAsia" w:eastAsiaTheme="majorEastAsia"/>
          <w:sz w:val="24"/>
          <w:highlight w:val="none"/>
        </w:rPr>
        <w:t>】。</w:t>
      </w:r>
    </w:p>
    <w:p>
      <w:pPr>
        <w:tabs>
          <w:tab w:val="left" w:pos="0"/>
        </w:tabs>
        <w:spacing w:line="440" w:lineRule="exact"/>
        <w:ind w:firstLine="480"/>
        <w:rPr>
          <w:rFonts w:asciiTheme="majorEastAsia" w:hAnsiTheme="majorEastAsia" w:eastAsiaTheme="majorEastAsia"/>
        </w:rPr>
      </w:pPr>
      <w:r>
        <w:rPr>
          <w:rFonts w:cs="宋体;SimSun" w:asciiTheme="majorEastAsia" w:hAnsiTheme="majorEastAsia" w:eastAsiaTheme="majorEastAsia"/>
          <w:sz w:val="24"/>
          <w:highlight w:val="none"/>
        </w:rPr>
        <w:t>5．定于</w:t>
      </w:r>
      <w:r>
        <w:rPr>
          <w:rFonts w:hint="eastAsia" w:cs="宋体;SimSun" w:asciiTheme="majorEastAsia" w:hAnsiTheme="majorEastAsia" w:eastAsiaTheme="majorEastAsia"/>
          <w:b/>
          <w:sz w:val="24"/>
          <w:highlight w:val="none"/>
          <w:u w:val="single"/>
        </w:rPr>
        <w:t>2021</w:t>
      </w:r>
      <w:r>
        <w:rPr>
          <w:rFonts w:cs="宋体;SimSun" w:asciiTheme="majorEastAsia" w:hAnsiTheme="majorEastAsia" w:eastAsiaTheme="majorEastAsia"/>
          <w:b/>
          <w:sz w:val="24"/>
          <w:highlight w:val="none"/>
          <w:u w:val="single"/>
        </w:rPr>
        <w:t>年</w:t>
      </w:r>
      <w:r>
        <w:rPr>
          <w:rFonts w:hint="eastAsia" w:cs="宋体;SimSun" w:asciiTheme="majorEastAsia" w:hAnsiTheme="majorEastAsia" w:eastAsiaTheme="majorEastAsia"/>
          <w:b/>
          <w:sz w:val="24"/>
          <w:highlight w:val="none"/>
          <w:u w:val="single"/>
        </w:rPr>
        <w:t xml:space="preserve">  月  日  </w:t>
      </w:r>
      <w:r>
        <w:rPr>
          <w:rFonts w:cs="宋体;SimSun" w:asciiTheme="majorEastAsia" w:hAnsiTheme="majorEastAsia" w:eastAsiaTheme="majorEastAsia"/>
          <w:b/>
          <w:sz w:val="24"/>
          <w:highlight w:val="none"/>
          <w:u w:val="single"/>
        </w:rPr>
        <w:t>:</w:t>
      </w:r>
      <w:r>
        <w:rPr>
          <w:rFonts w:hint="eastAsia" w:cs="宋体;SimSun" w:asciiTheme="majorEastAsia" w:hAnsiTheme="majorEastAsia" w:eastAsiaTheme="majorEastAsia"/>
          <w:b/>
          <w:sz w:val="24"/>
          <w:highlight w:val="none"/>
          <w:u w:val="single"/>
        </w:rPr>
        <w:t xml:space="preserve">  </w:t>
      </w:r>
      <w:r>
        <w:rPr>
          <w:rFonts w:cs="宋体;SimSun" w:asciiTheme="majorEastAsia" w:hAnsiTheme="majorEastAsia" w:eastAsiaTheme="majorEastAsia"/>
          <w:sz w:val="24"/>
          <w:highlight w:val="none"/>
        </w:rPr>
        <w:t>(北京时间)在</w:t>
      </w:r>
      <w:r>
        <w:rPr>
          <w:rFonts w:hint="eastAsia" w:cs="宋体;SimSun" w:asciiTheme="majorEastAsia" w:hAnsiTheme="majorEastAsia" w:eastAsiaTheme="majorEastAsia"/>
          <w:sz w:val="24"/>
          <w:highlight w:val="none"/>
        </w:rPr>
        <w:t>福建</w:t>
      </w:r>
      <w:r>
        <w:rPr>
          <w:rFonts w:hint="eastAsia" w:cs="宋体;SimSun" w:asciiTheme="majorEastAsia" w:hAnsiTheme="majorEastAsia" w:eastAsiaTheme="majorEastAsia"/>
          <w:sz w:val="24"/>
        </w:rPr>
        <w:t>省新卫招标代理有限公司</w:t>
      </w:r>
      <w:r>
        <w:rPr>
          <w:rFonts w:cs="宋体;SimSun" w:asciiTheme="majorEastAsia" w:hAnsiTheme="majorEastAsia" w:eastAsiaTheme="majorEastAsia"/>
          <w:sz w:val="24"/>
        </w:rPr>
        <w:t>（</w:t>
      </w:r>
      <w:r>
        <w:rPr>
          <w:rFonts w:hint="eastAsia" w:cs="宋体;SimSun" w:asciiTheme="majorEastAsia" w:hAnsiTheme="majorEastAsia" w:eastAsiaTheme="majorEastAsia"/>
          <w:b/>
          <w:sz w:val="24"/>
          <w:u w:val="single"/>
        </w:rPr>
        <w:t>福建省福州市西二环中路301号东南医药大楼六层开标厅</w:t>
      </w:r>
      <w:r>
        <w:rPr>
          <w:rFonts w:cs="宋体;SimSun" w:asciiTheme="majorEastAsia" w:hAnsiTheme="majorEastAsia" w:eastAsiaTheme="majorEastAsia"/>
          <w:sz w:val="24"/>
        </w:rPr>
        <w:t>）公开开标。届时请参加投标的代表出席开标仪式。</w:t>
      </w:r>
    </w:p>
    <w:p>
      <w:pPr>
        <w:tabs>
          <w:tab w:val="left" w:pos="540"/>
          <w:tab w:val="left" w:pos="900"/>
        </w:tabs>
        <w:spacing w:line="380" w:lineRule="exact"/>
        <w:ind w:firstLine="480" w:firstLineChars="200"/>
        <w:rPr>
          <w:rFonts w:ascii="宋体" w:hAnsi="宋体"/>
          <w:sz w:val="24"/>
          <w:u w:val="single"/>
        </w:rPr>
      </w:pPr>
      <w:r>
        <w:rPr>
          <w:rFonts w:hint="eastAsia" w:ascii="宋体" w:hAnsi="宋体"/>
          <w:sz w:val="24"/>
        </w:rPr>
        <w:t xml:space="preserve">招标机构： </w:t>
      </w:r>
      <w:r>
        <w:rPr>
          <w:rFonts w:hint="eastAsia" w:ascii="宋体" w:hAnsi="宋体"/>
          <w:sz w:val="24"/>
          <w:u w:val="single"/>
        </w:rPr>
        <w:t>福建省新卫招标代理有限公司</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地    址： </w:t>
      </w:r>
      <w:r>
        <w:rPr>
          <w:rFonts w:hint="eastAsia" w:ascii="宋体" w:hAnsi="宋体"/>
          <w:sz w:val="24"/>
          <w:u w:val="single"/>
          <w:lang w:val="en-GB"/>
        </w:rPr>
        <w:t>福建省</w:t>
      </w:r>
      <w:r>
        <w:rPr>
          <w:rFonts w:hint="eastAsia" w:ascii="宋体" w:hAnsi="宋体"/>
          <w:sz w:val="24"/>
          <w:u w:val="single"/>
        </w:rPr>
        <w:t>福州市西二环中路301号东南医药大楼六层</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邮    编： </w:t>
      </w:r>
      <w:r>
        <w:rPr>
          <w:rFonts w:hint="eastAsia" w:ascii="宋体" w:hAnsi="宋体"/>
          <w:sz w:val="24"/>
          <w:u w:val="single"/>
        </w:rPr>
        <w:t>350025</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联 系 人： </w:t>
      </w:r>
      <w:r>
        <w:rPr>
          <w:rFonts w:hint="eastAsia" w:ascii="宋体" w:hAnsi="宋体"/>
          <w:sz w:val="24"/>
          <w:u w:val="single"/>
        </w:rPr>
        <w:t>蔡华凯、刘鼎埕</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电    话： </w:t>
      </w:r>
      <w:r>
        <w:rPr>
          <w:rFonts w:hint="eastAsia" w:ascii="宋体" w:hAnsi="宋体"/>
          <w:sz w:val="24"/>
          <w:u w:val="single"/>
        </w:rPr>
        <w:t>0591-87807330/87807383</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传    真： </w:t>
      </w:r>
      <w:r>
        <w:rPr>
          <w:rFonts w:hint="eastAsia" w:ascii="宋体" w:hAnsi="宋体"/>
          <w:sz w:val="24"/>
          <w:u w:val="single"/>
        </w:rPr>
        <w:t>0591-87807330</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电子邮箱： </w:t>
      </w:r>
      <w:r>
        <w:rPr>
          <w:rFonts w:hint="eastAsia" w:ascii="宋体" w:hAnsi="宋体"/>
          <w:sz w:val="24"/>
          <w:u w:val="single"/>
        </w:rPr>
        <w:t>946156038@qq.com</w:t>
      </w:r>
    </w:p>
    <w:p>
      <w:pPr>
        <w:snapToGrid w:val="0"/>
        <w:spacing w:line="440" w:lineRule="exact"/>
        <w:ind w:firstLine="480"/>
        <w:rPr>
          <w:rFonts w:cs="宋体;SimSun" w:asciiTheme="majorEastAsia" w:hAnsiTheme="majorEastAsia" w:eastAsiaTheme="majorEastAsia"/>
          <w:sz w:val="24"/>
        </w:rPr>
      </w:pPr>
    </w:p>
    <w:p>
      <w:pPr>
        <w:snapToGrid w:val="0"/>
        <w:spacing w:line="440" w:lineRule="exact"/>
        <w:ind w:firstLine="482"/>
        <w:rPr>
          <w:rFonts w:cs="宋体;SimSun" w:asciiTheme="majorEastAsia" w:hAnsiTheme="majorEastAsia" w:eastAsiaTheme="majorEastAsia"/>
          <w:b/>
          <w:sz w:val="24"/>
        </w:rPr>
      </w:pPr>
      <w:r>
        <w:rPr>
          <w:rFonts w:cs="宋体;SimSun" w:asciiTheme="majorEastAsia" w:hAnsiTheme="majorEastAsia" w:eastAsiaTheme="majorEastAsia"/>
          <w:b/>
          <w:sz w:val="24"/>
        </w:rPr>
        <w:t>购买招标文件、递交投标保证金及缴纳招标（代理）服务费账户</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开户银行： </w:t>
      </w:r>
      <w:r>
        <w:rPr>
          <w:rFonts w:hint="eastAsia" w:ascii="宋体" w:hAnsi="宋体"/>
          <w:sz w:val="24"/>
          <w:u w:val="single"/>
        </w:rPr>
        <w:t>中国光大银行福州南门支行</w:t>
      </w:r>
      <w:r>
        <w:rPr>
          <w:rFonts w:hint="eastAsia" w:ascii="宋体" w:hAnsi="宋体"/>
          <w:sz w:val="24"/>
        </w:rPr>
        <w:t xml:space="preserve"> </w:t>
      </w:r>
    </w:p>
    <w:p>
      <w:pPr>
        <w:adjustRightInd w:val="0"/>
        <w:snapToGrid w:val="0"/>
        <w:spacing w:line="380" w:lineRule="exact"/>
        <w:ind w:firstLine="480" w:firstLineChars="200"/>
        <w:rPr>
          <w:rFonts w:ascii="宋体" w:hAnsi="宋体"/>
          <w:sz w:val="24"/>
          <w:u w:val="single"/>
        </w:rPr>
      </w:pPr>
      <w:r>
        <w:rPr>
          <w:rFonts w:hint="eastAsia" w:ascii="宋体" w:hAnsi="宋体"/>
          <w:sz w:val="24"/>
        </w:rPr>
        <w:t xml:space="preserve">开户名称： </w:t>
      </w:r>
      <w:r>
        <w:rPr>
          <w:rFonts w:hint="eastAsia" w:ascii="宋体" w:hAnsi="宋体" w:cs="仿宋_GB2312"/>
          <w:sz w:val="24"/>
          <w:u w:val="single"/>
        </w:rPr>
        <w:t>福建省新卫招标代理有限公司</w:t>
      </w:r>
    </w:p>
    <w:p>
      <w:pPr>
        <w:adjustRightInd w:val="0"/>
        <w:snapToGrid w:val="0"/>
        <w:spacing w:line="400" w:lineRule="exact"/>
        <w:ind w:firstLine="480" w:firstLineChars="200"/>
        <w:rPr>
          <w:rFonts w:ascii="宋体" w:hAnsi="宋体"/>
          <w:b/>
          <w:sz w:val="36"/>
        </w:rPr>
        <w:sectPr>
          <w:footerReference r:id="rId4" w:type="first"/>
          <w:footerReference r:id="rId3" w:type="default"/>
          <w:pgSz w:w="11906" w:h="16838"/>
          <w:pgMar w:top="1440" w:right="1466" w:bottom="1246" w:left="1620" w:header="851" w:footer="992" w:gutter="0"/>
          <w:pgNumType w:start="1"/>
          <w:cols w:space="720" w:num="1"/>
          <w:titlePg/>
          <w:docGrid w:type="lines" w:linePitch="312" w:charSpace="0"/>
        </w:sectPr>
      </w:pPr>
      <w:r>
        <w:rPr>
          <w:rFonts w:hint="eastAsia" w:ascii="宋体" w:hAnsi="宋体"/>
          <w:sz w:val="24"/>
        </w:rPr>
        <w:t xml:space="preserve">帐    号： </w:t>
      </w:r>
      <w:r>
        <w:rPr>
          <w:rFonts w:hint="eastAsia" w:ascii="宋体" w:hAnsi="宋体" w:cs="仿宋_GB2312"/>
          <w:sz w:val="24"/>
          <w:u w:val="single"/>
        </w:rPr>
        <w:t>7736 0188 0000 28873</w:t>
      </w:r>
    </w:p>
    <w:p>
      <w:pPr>
        <w:spacing w:line="400" w:lineRule="exact"/>
        <w:jc w:val="center"/>
        <w:rPr>
          <w:rFonts w:cs="宋体;SimSun" w:asciiTheme="majorEastAsia" w:hAnsiTheme="majorEastAsia" w:eastAsiaTheme="majorEastAsia"/>
          <w:b/>
          <w:sz w:val="36"/>
        </w:rPr>
      </w:pPr>
      <w:r>
        <w:rPr>
          <w:rFonts w:cs="宋体;SimSun" w:asciiTheme="majorEastAsia" w:hAnsiTheme="majorEastAsia" w:eastAsiaTheme="majorEastAsia"/>
          <w:b/>
          <w:sz w:val="36"/>
        </w:rPr>
        <w:t>第六章     投标资料表</w:t>
      </w:r>
    </w:p>
    <w:p>
      <w:pPr>
        <w:spacing w:line="320" w:lineRule="exact"/>
        <w:ind w:firstLine="424" w:firstLineChars="177"/>
        <w:rPr>
          <w:rFonts w:cs="宋体;SimSun" w:asciiTheme="majorEastAsia" w:hAnsiTheme="majorEastAsia" w:eastAsiaTheme="majorEastAsia"/>
          <w:sz w:val="24"/>
        </w:rPr>
      </w:pPr>
      <w:r>
        <w:rPr>
          <w:rFonts w:cs="宋体;SimSun" w:asciiTheme="majorEastAsia" w:hAnsiTheme="majorEastAsia" w:eastAsiaTheme="majorEastAsia"/>
          <w:sz w:val="24"/>
        </w:rPr>
        <w:t>本表关于要采购的货物的具体资料是对投标人须知的具体补充和修改，如有矛盾，应以本资料表为准。</w:t>
      </w:r>
    </w:p>
    <w:tbl>
      <w:tblPr>
        <w:tblStyle w:val="30"/>
        <w:tblW w:w="9852" w:type="dxa"/>
        <w:tblInd w:w="-43" w:type="dxa"/>
        <w:tblLayout w:type="fixed"/>
        <w:tblCellMar>
          <w:top w:w="0" w:type="dxa"/>
          <w:left w:w="28" w:type="dxa"/>
          <w:bottom w:w="0" w:type="dxa"/>
          <w:right w:w="28" w:type="dxa"/>
        </w:tblCellMar>
      </w:tblPr>
      <w:tblGrid>
        <w:gridCol w:w="928"/>
        <w:gridCol w:w="9"/>
        <w:gridCol w:w="171"/>
        <w:gridCol w:w="8744"/>
      </w:tblGrid>
      <w:tr>
        <w:tblPrEx>
          <w:tblCellMar>
            <w:top w:w="0" w:type="dxa"/>
            <w:left w:w="28" w:type="dxa"/>
            <w:bottom w:w="0" w:type="dxa"/>
            <w:right w:w="28" w:type="dxa"/>
          </w:tblCellMar>
        </w:tblPrEx>
        <w:trPr>
          <w:trHeight w:val="20" w:hRule="atLeast"/>
        </w:trPr>
        <w:tc>
          <w:tcPr>
            <w:tcW w:w="928" w:type="dxa"/>
            <w:tcBorders>
              <w:top w:val="single" w:color="000000" w:sz="12" w:space="0"/>
              <w:left w:val="single" w:color="000000" w:sz="12" w:space="0"/>
              <w:bottom w:val="single" w:color="000000" w:sz="6"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条款号</w:t>
            </w:r>
          </w:p>
        </w:tc>
        <w:tc>
          <w:tcPr>
            <w:tcW w:w="8924" w:type="dxa"/>
            <w:gridSpan w:val="3"/>
            <w:tcBorders>
              <w:top w:val="single" w:color="000000" w:sz="12" w:space="0"/>
              <w:left w:val="single" w:color="000000" w:sz="6"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rPr>
            </w:pPr>
            <w:r>
              <w:rPr>
                <w:rFonts w:cs="宋体;SimSun" w:asciiTheme="majorEastAsia" w:hAnsiTheme="majorEastAsia" w:eastAsiaTheme="majorEastAsia"/>
                <w:b/>
                <w:sz w:val="24"/>
              </w:rPr>
              <w:t>内      容</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rPr>
            </w:pPr>
            <w:r>
              <w:rPr>
                <w:rFonts w:cs="宋体;SimSun" w:asciiTheme="majorEastAsia" w:hAnsiTheme="majorEastAsia" w:eastAsiaTheme="majorEastAsia"/>
                <w:b/>
                <w:sz w:val="24"/>
              </w:rPr>
              <w:t>说 明 和 招 标 文 件</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招标人名称：福建省卫生健康委员会</w:t>
            </w:r>
          </w:p>
          <w:p>
            <w:pPr>
              <w:snapToGrid w:val="0"/>
              <w:spacing w:line="420" w:lineRule="exact"/>
              <w:rPr>
                <w:rFonts w:cs="宋体;SimSun" w:asciiTheme="majorEastAsia" w:hAnsiTheme="majorEastAsia" w:eastAsiaTheme="majorEastAsia"/>
              </w:rPr>
            </w:pPr>
            <w:r>
              <w:rPr>
                <w:rFonts w:cs="宋体;SimSun" w:asciiTheme="majorEastAsia" w:hAnsiTheme="majorEastAsia" w:eastAsiaTheme="majorEastAsia"/>
                <w:sz w:val="24"/>
              </w:rPr>
              <w:t>地址：</w:t>
            </w:r>
            <w:r>
              <w:rPr>
                <w:rFonts w:hint="eastAsia" w:ascii="宋体" w:hAnsi="宋体" w:cs="宋体"/>
                <w:sz w:val="24"/>
              </w:rPr>
              <w:t>福州市鼓楼区鼓屏路61号</w:t>
            </w:r>
          </w:p>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电话：86-0591-87322531</w:t>
            </w:r>
          </w:p>
          <w:p>
            <w:pPr>
              <w:spacing w:line="420" w:lineRule="exact"/>
              <w:jc w:val="left"/>
              <w:rPr>
                <w:rFonts w:cs="宋体;SimSun" w:asciiTheme="majorEastAsia" w:hAnsiTheme="majorEastAsia" w:eastAsiaTheme="majorEastAsia"/>
              </w:rPr>
            </w:pPr>
            <w:r>
              <w:rPr>
                <w:rFonts w:hint="eastAsia" w:cs="宋体;SimSun" w:asciiTheme="majorEastAsia" w:hAnsiTheme="majorEastAsia" w:eastAsiaTheme="majorEastAsia"/>
                <w:sz w:val="24"/>
              </w:rPr>
              <w:t>联系人：江女士</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rPr>
            </w:pPr>
            <w:r>
              <w:rPr>
                <w:rFonts w:cs="宋体;SimSun" w:asciiTheme="majorEastAsia" w:hAnsiTheme="majorEastAsia" w:eastAsiaTheme="majorEastAsia"/>
                <w:sz w:val="24"/>
              </w:rPr>
              <w:t>合同名称：</w:t>
            </w:r>
            <w:r>
              <w:rPr>
                <w:rFonts w:hint="eastAsia" w:cs="宋体;SimSun" w:asciiTheme="majorEastAsia" w:hAnsiTheme="majorEastAsia" w:eastAsiaTheme="majorEastAsia"/>
                <w:sz w:val="24"/>
              </w:rPr>
              <w:t>福建省部分乙类大型医用设备（2021年第一批次）集中采购项目</w:t>
            </w:r>
            <w:r>
              <w:rPr>
                <w:rFonts w:cs="宋体;SimSun" w:asciiTheme="majorEastAsia" w:hAnsiTheme="majorEastAsia" w:eastAsiaTheme="majorEastAsia"/>
                <w:sz w:val="24"/>
              </w:rPr>
              <w:t>采购合同</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招标代理机构名称：</w:t>
            </w:r>
            <w:r>
              <w:rPr>
                <w:rFonts w:hint="eastAsia" w:cs="宋体;SimSun" w:asciiTheme="majorEastAsia" w:hAnsiTheme="majorEastAsia" w:eastAsiaTheme="majorEastAsia"/>
                <w:sz w:val="24"/>
              </w:rPr>
              <w:t>福建省新卫招标代理有限公司</w:t>
            </w:r>
            <w:r>
              <w:rPr>
                <w:rFonts w:cs="宋体;SimSun" w:asciiTheme="majorEastAsia" w:hAnsiTheme="majorEastAsia" w:eastAsiaTheme="majorEastAsia"/>
                <w:sz w:val="24"/>
              </w:rPr>
              <w:t xml:space="preserve"> </w:t>
            </w:r>
          </w:p>
          <w:p>
            <w:pPr>
              <w:spacing w:line="42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地址：</w:t>
            </w:r>
            <w:r>
              <w:rPr>
                <w:rFonts w:hint="eastAsia" w:cs="宋体;SimSun" w:asciiTheme="majorEastAsia" w:hAnsiTheme="majorEastAsia" w:eastAsiaTheme="majorEastAsia"/>
                <w:sz w:val="24"/>
              </w:rPr>
              <w:t>福州市鼓楼区西二环中路301号东南医药大楼六层</w:t>
            </w:r>
          </w:p>
          <w:p>
            <w:pPr>
              <w:spacing w:line="420" w:lineRule="exact"/>
              <w:jc w:val="left"/>
              <w:rPr>
                <w:rFonts w:cs="宋体;SimSun" w:asciiTheme="majorEastAsia" w:hAnsiTheme="majorEastAsia" w:eastAsiaTheme="majorEastAsia"/>
                <w:sz w:val="24"/>
              </w:rPr>
            </w:pPr>
            <w:r>
              <w:rPr>
                <w:rFonts w:cs="宋体;SimSun" w:asciiTheme="majorEastAsia" w:hAnsiTheme="majorEastAsia" w:eastAsiaTheme="majorEastAsia"/>
                <w:sz w:val="24"/>
              </w:rPr>
              <w:t>联系人：</w:t>
            </w:r>
            <w:r>
              <w:rPr>
                <w:rFonts w:hint="eastAsia" w:ascii="宋体" w:hAnsi="宋体"/>
                <w:sz w:val="24"/>
              </w:rPr>
              <w:t>蔡华凯、刘鼎埕</w:t>
            </w:r>
          </w:p>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电话：</w:t>
            </w:r>
            <w:r>
              <w:rPr>
                <w:rFonts w:hint="eastAsia" w:ascii="宋体" w:hAnsi="宋体"/>
                <w:sz w:val="24"/>
              </w:rPr>
              <w:t>86-0591-87807330/87807383</w:t>
            </w:r>
          </w:p>
          <w:p>
            <w:pPr>
              <w:spacing w:line="360" w:lineRule="exact"/>
              <w:rPr>
                <w:rFonts w:cs="宋体;SimSun" w:asciiTheme="majorEastAsia" w:hAnsiTheme="majorEastAsia" w:eastAsiaTheme="majorEastAsia"/>
                <w:sz w:val="24"/>
              </w:rPr>
            </w:pPr>
            <w:r>
              <w:rPr>
                <w:rFonts w:hint="eastAsia" w:ascii="宋体" w:hAnsi="宋体"/>
                <w:sz w:val="24"/>
              </w:rPr>
              <w:t>传  真：0591-87807330</w:t>
            </w:r>
          </w:p>
          <w:p>
            <w:pPr>
              <w:spacing w:line="420" w:lineRule="exact"/>
              <w:rPr>
                <w:rFonts w:cs="宋体;SimSun" w:asciiTheme="majorEastAsia" w:hAnsiTheme="majorEastAsia" w:eastAsiaTheme="majorEastAsia"/>
                <w:u w:val="single"/>
              </w:rPr>
            </w:pPr>
            <w:r>
              <w:rPr>
                <w:rFonts w:hint="eastAsia" w:cs="宋体;SimSun" w:asciiTheme="majorEastAsia" w:hAnsiTheme="majorEastAsia" w:eastAsiaTheme="majorEastAsia"/>
                <w:sz w:val="24"/>
              </w:rPr>
              <w:t>电子</w:t>
            </w:r>
            <w:r>
              <w:rPr>
                <w:rFonts w:cs="宋体;SimSun" w:asciiTheme="majorEastAsia" w:hAnsiTheme="majorEastAsia" w:eastAsiaTheme="majorEastAsia"/>
                <w:sz w:val="24"/>
              </w:rPr>
              <w:t>邮箱：</w:t>
            </w:r>
            <w:r>
              <w:rPr>
                <w:rFonts w:hint="eastAsia" w:ascii="宋体" w:hAnsi="宋体"/>
                <w:sz w:val="24"/>
              </w:rPr>
              <w:t>946156038@qq.com</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合格的投标人：投标人应对招标文件第一册第一章投标人须知第2点中各条（款）的要求逐条（款）响应。</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2.2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合格</w:t>
            </w:r>
            <w:r>
              <w:rPr>
                <w:rFonts w:hint="eastAsia" w:cs="宋体;SimSun" w:asciiTheme="majorEastAsia" w:hAnsiTheme="majorEastAsia" w:eastAsiaTheme="majorEastAsia"/>
                <w:sz w:val="24"/>
              </w:rPr>
              <w:t>来</w:t>
            </w:r>
            <w:r>
              <w:rPr>
                <w:rFonts w:cs="宋体;SimSun" w:asciiTheme="majorEastAsia" w:hAnsiTheme="majorEastAsia" w:eastAsiaTheme="majorEastAsia"/>
                <w:sz w:val="24"/>
              </w:rPr>
              <w:t>源国</w:t>
            </w:r>
            <w:r>
              <w:rPr>
                <w:rFonts w:hint="eastAsia" w:cs="宋体;SimSun" w:asciiTheme="majorEastAsia" w:hAnsiTheme="majorEastAsia" w:eastAsiaTheme="majorEastAsia"/>
                <w:sz w:val="24"/>
              </w:rPr>
              <w:t>/地区</w:t>
            </w:r>
            <w:r>
              <w:rPr>
                <w:rFonts w:cs="宋体;SimSun" w:asciiTheme="majorEastAsia" w:hAnsiTheme="majorEastAsia" w:eastAsiaTheme="majorEastAsia"/>
                <w:sz w:val="24"/>
              </w:rPr>
              <w:t>限制：</w:t>
            </w:r>
            <w:r>
              <w:rPr>
                <w:rFonts w:cs="宋体;SimSun" w:asciiTheme="majorEastAsia" w:hAnsiTheme="majorEastAsia" w:eastAsiaTheme="majorEastAsia"/>
                <w:sz w:val="24"/>
                <w:u w:val="single"/>
              </w:rPr>
              <w:t>应为来自中华人民共和国或是与中华人民共和国有正常贸易往来的国家</w:t>
            </w:r>
            <w:r>
              <w:rPr>
                <w:rFonts w:hint="eastAsia" w:cs="宋体;SimSun" w:asciiTheme="majorEastAsia" w:hAnsiTheme="majorEastAsia" w:eastAsiaTheme="majorEastAsia"/>
                <w:sz w:val="24"/>
                <w:u w:val="single"/>
              </w:rPr>
              <w:t>或</w:t>
            </w:r>
            <w:r>
              <w:rPr>
                <w:rFonts w:cs="宋体;SimSun" w:asciiTheme="majorEastAsia" w:hAnsiTheme="majorEastAsia" w:eastAsiaTheme="majorEastAsia"/>
                <w:sz w:val="24"/>
                <w:u w:val="single"/>
              </w:rPr>
              <w:t>地区</w:t>
            </w:r>
            <w:r>
              <w:rPr>
                <w:rFonts w:hint="eastAsia" w:cs="宋体;SimSun" w:asciiTheme="majorEastAsia" w:hAnsiTheme="majorEastAsia" w:eastAsiaTheme="majorEastAsia"/>
                <w:sz w:val="24"/>
                <w:u w:val="single"/>
              </w:rPr>
              <w:t>。</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cs="宋体;SimSun" w:asciiTheme="majorEastAsia" w:hAnsiTheme="majorEastAsia" w:eastAsiaTheme="majorEastAsia"/>
                <w:sz w:val="24"/>
              </w:rPr>
              <w:t>6.1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hint="eastAsia" w:cs="宋体;SimSun" w:asciiTheme="majorEastAsia" w:hAnsiTheme="majorEastAsia" w:eastAsiaTheme="majorEastAsia"/>
                <w:sz w:val="24"/>
              </w:rPr>
              <w:t>已购买招标文件的潜在投标人要求对招标文件进行澄清的，应当在投标截止时间</w:t>
            </w:r>
            <w:r>
              <w:rPr>
                <w:rFonts w:cs="宋体;SimSun" w:asciiTheme="majorEastAsia" w:hAnsiTheme="majorEastAsia" w:eastAsiaTheme="majorEastAsia"/>
                <w:sz w:val="24"/>
              </w:rPr>
              <w:t>10</w:t>
            </w:r>
            <w:r>
              <w:rPr>
                <w:rFonts w:hint="eastAsia" w:cs="宋体;SimSun" w:asciiTheme="majorEastAsia" w:hAnsiTheme="majorEastAsia" w:eastAsiaTheme="majorEastAsia"/>
                <w:sz w:val="24"/>
              </w:rPr>
              <w:t>日前以书面原件形式按招标文件规定向招标代理机构提出（须附单位负责人授权委托书、单位负责人及委托人身份证复印件和营业执照复印件，并注明联系人、电话、邮箱及通讯地址等相关信息）。</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rPr>
            </w:pPr>
            <w:r>
              <w:rPr>
                <w:rFonts w:cs="宋体;SimSun" w:asciiTheme="majorEastAsia" w:hAnsiTheme="majorEastAsia" w:eastAsiaTheme="majorEastAsia"/>
                <w:b/>
                <w:sz w:val="24"/>
              </w:rPr>
              <w:t>投 标 文 件 的 编 制 和 递 交</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8</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投标的语言：</w:t>
            </w:r>
            <w:r>
              <w:rPr>
                <w:rFonts w:hint="eastAsia" w:ascii="宋体" w:hAnsi="宋体"/>
                <w:sz w:val="24"/>
              </w:rPr>
              <w:t>中文。投标文件中如包括英文资料，必须有中文翻译本；中英文表述内容不一致时，以中文翻译本为准。</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ind w:firstLine="142"/>
              <w:rPr>
                <w:rFonts w:cs="宋体;SimSun" w:asciiTheme="majorEastAsia" w:hAnsiTheme="majorEastAsia" w:eastAsiaTheme="majorEastAsia"/>
              </w:rPr>
            </w:pPr>
            <w:r>
              <w:rPr>
                <w:rFonts w:cs="宋体;SimSun" w:asciiTheme="majorEastAsia" w:hAnsiTheme="majorEastAsia" w:eastAsiaTheme="majorEastAsia"/>
                <w:sz w:val="24"/>
              </w:rPr>
              <w:t>10.3</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是否允许提供备选方案：否。</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ind w:firstLine="142"/>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11.2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本项目不允许缺漏项。</w:t>
            </w:r>
          </w:p>
          <w:p>
            <w:pPr>
              <w:spacing w:line="420" w:lineRule="exact"/>
              <w:rPr>
                <w:rFonts w:cs="宋体;SimSun" w:asciiTheme="majorEastAsia" w:hAnsiTheme="majorEastAsia" w:eastAsiaTheme="majorEastAsia"/>
              </w:rPr>
            </w:pPr>
            <w:r>
              <w:rPr>
                <w:rFonts w:hint="eastAsia" w:asciiTheme="majorEastAsia" w:hAnsiTheme="majorEastAsia" w:eastAsiaTheme="majorEastAsia"/>
                <w:sz w:val="24"/>
              </w:rPr>
              <w:t>注：对多报项及赠送项的价格评标时不予核减，全部进入评标价评议。</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11.4</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不接受选择性报价或者具有附加条件的报价。</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11.5</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rPr>
            </w:pPr>
            <w:r>
              <w:rPr>
                <w:rFonts w:cs="宋体;SimSun" w:asciiTheme="majorEastAsia" w:hAnsiTheme="majorEastAsia" w:eastAsiaTheme="majorEastAsia"/>
                <w:sz w:val="24"/>
              </w:rPr>
              <w:t>本次招标项目最高限价</w:t>
            </w:r>
            <w:r>
              <w:rPr>
                <w:rFonts w:hint="eastAsia" w:cs="宋体;SimSun" w:asciiTheme="majorEastAsia" w:hAnsiTheme="majorEastAsia" w:eastAsiaTheme="majorEastAsia"/>
                <w:sz w:val="24"/>
              </w:rPr>
              <w:t>（人民币）：</w:t>
            </w:r>
            <w:r>
              <w:rPr>
                <w:rFonts w:hint="eastAsia" w:ascii="宋体" w:hAnsi="宋体"/>
                <w:sz w:val="24"/>
                <w:u w:val="single"/>
              </w:rPr>
              <w:t>合同包1：超高端CT为1400万元/台（数量：6台，总价：8400万元），合同包2：高端3.0T磁共振成像系统为1800万元/台（数量：3台，总价：5400万元）。</w:t>
            </w:r>
            <w:r>
              <w:rPr>
                <w:rFonts w:cs="宋体;SimSun" w:asciiTheme="majorEastAsia" w:hAnsiTheme="majorEastAsia" w:eastAsiaTheme="majorEastAsia"/>
                <w:sz w:val="24"/>
              </w:rPr>
              <w:t>超过</w:t>
            </w:r>
            <w:r>
              <w:rPr>
                <w:rFonts w:hint="eastAsia" w:cs="宋体;SimSun" w:asciiTheme="majorEastAsia" w:hAnsiTheme="majorEastAsia" w:eastAsiaTheme="majorEastAsia"/>
                <w:sz w:val="24"/>
              </w:rPr>
              <w:t>单价或总价的</w:t>
            </w:r>
            <w:r>
              <w:rPr>
                <w:rFonts w:cs="宋体;SimSun" w:asciiTheme="majorEastAsia" w:hAnsiTheme="majorEastAsia" w:eastAsiaTheme="majorEastAsia"/>
                <w:sz w:val="24"/>
              </w:rPr>
              <w:t>最高限价的</w:t>
            </w:r>
            <w:r>
              <w:rPr>
                <w:rFonts w:hint="eastAsia" w:cs="宋体;SimSun" w:asciiTheme="majorEastAsia" w:hAnsiTheme="majorEastAsia" w:eastAsiaTheme="majorEastAsia"/>
                <w:sz w:val="24"/>
              </w:rPr>
              <w:t>报价均</w:t>
            </w:r>
            <w:r>
              <w:rPr>
                <w:rFonts w:cs="宋体;SimSun" w:asciiTheme="majorEastAsia" w:hAnsiTheme="majorEastAsia" w:eastAsiaTheme="majorEastAsia"/>
                <w:sz w:val="24"/>
              </w:rPr>
              <w:t>为无效报价。</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11.6.1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u w:val="single"/>
              </w:rPr>
            </w:pPr>
            <w:r>
              <w:rPr>
                <w:rFonts w:cs="宋体;SimSun" w:asciiTheme="majorEastAsia" w:hAnsiTheme="majorEastAsia" w:eastAsiaTheme="majorEastAsia"/>
                <w:sz w:val="24"/>
              </w:rPr>
              <w:t>中华人民共和国境内货物和服务投标报价：现场交货价</w:t>
            </w:r>
            <w:r>
              <w:rPr>
                <w:rFonts w:hint="eastAsia" w:cs="宋体;SimSun" w:asciiTheme="majorEastAsia" w:hAnsiTheme="majorEastAsia" w:eastAsiaTheme="majorEastAsia"/>
                <w:sz w:val="24"/>
              </w:rPr>
              <w:t>（</w:t>
            </w:r>
            <w:r>
              <w:rPr>
                <w:rFonts w:cs="宋体;SimSun" w:asciiTheme="majorEastAsia" w:hAnsiTheme="majorEastAsia" w:eastAsiaTheme="majorEastAsia"/>
                <w:sz w:val="24"/>
              </w:rPr>
              <w:t>包含生产厂至最终目的地的</w:t>
            </w:r>
            <w:r>
              <w:rPr>
                <w:rFonts w:hint="eastAsia" w:cs="宋体;SimSun" w:asciiTheme="majorEastAsia" w:hAnsiTheme="majorEastAsia" w:eastAsiaTheme="majorEastAsia"/>
                <w:sz w:val="24"/>
              </w:rPr>
              <w:t>关境内</w:t>
            </w:r>
            <w:r>
              <w:rPr>
                <w:rFonts w:cs="宋体;SimSun" w:asciiTheme="majorEastAsia" w:hAnsiTheme="majorEastAsia" w:eastAsiaTheme="majorEastAsia"/>
                <w:sz w:val="24"/>
              </w:rPr>
              <w:t>运输费</w:t>
            </w:r>
            <w:r>
              <w:rPr>
                <w:rFonts w:hint="eastAsia" w:cs="宋体;SimSun" w:asciiTheme="majorEastAsia" w:hAnsiTheme="majorEastAsia" w:eastAsiaTheme="majorEastAsia"/>
                <w:sz w:val="24"/>
              </w:rPr>
              <w:t>、</w:t>
            </w:r>
            <w:r>
              <w:rPr>
                <w:rFonts w:cs="宋体;SimSun" w:asciiTheme="majorEastAsia" w:hAnsiTheme="majorEastAsia" w:eastAsiaTheme="majorEastAsia"/>
                <w:sz w:val="24"/>
              </w:rPr>
              <w:t>保险费和其他当地发生的伴随服务费</w:t>
            </w:r>
            <w:r>
              <w:rPr>
                <w:rFonts w:hint="eastAsia" w:cs="宋体;SimSun" w:asciiTheme="majorEastAsia" w:hAnsiTheme="majorEastAsia" w:eastAsiaTheme="majorEastAsia"/>
                <w:sz w:val="24"/>
              </w:rPr>
              <w:t>等</w:t>
            </w:r>
            <w:r>
              <w:rPr>
                <w:rFonts w:cs="宋体;SimSun" w:asciiTheme="majorEastAsia" w:hAnsiTheme="majorEastAsia" w:eastAsiaTheme="majorEastAsia"/>
                <w:sz w:val="24"/>
              </w:rPr>
              <w:t>）。</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11.6.2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中华人民共和国境外货物和服务投标报价：DDP（包含进口环节税、增值税、运保费等货物到达</w:t>
            </w:r>
            <w:r>
              <w:rPr>
                <w:rFonts w:hint="eastAsia" w:cs="宋体;SimSun" w:asciiTheme="majorEastAsia" w:hAnsiTheme="majorEastAsia" w:eastAsiaTheme="majorEastAsia"/>
                <w:sz w:val="24"/>
              </w:rPr>
              <w:t>招标人指定交货</w:t>
            </w:r>
            <w:r>
              <w:rPr>
                <w:rFonts w:cs="宋体;SimSun" w:asciiTheme="majorEastAsia" w:hAnsiTheme="majorEastAsia" w:eastAsiaTheme="majorEastAsia"/>
                <w:sz w:val="24"/>
              </w:rPr>
              <w:t>现场期间所发生的一切费用）。</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12.1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rPr>
            </w:pPr>
            <w:r>
              <w:rPr>
                <w:rFonts w:cs="宋体;SimSun" w:asciiTheme="majorEastAsia" w:hAnsiTheme="majorEastAsia" w:eastAsiaTheme="majorEastAsia"/>
                <w:sz w:val="24"/>
              </w:rPr>
              <w:t>中华人民共和国境内货物和服务投标货币：人民币。</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12.2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rPr>
            </w:pPr>
            <w:r>
              <w:rPr>
                <w:rFonts w:cs="宋体;SimSun" w:asciiTheme="majorEastAsia" w:hAnsiTheme="majorEastAsia" w:eastAsiaTheme="majorEastAsia"/>
                <w:sz w:val="24"/>
              </w:rPr>
              <w:t>中华人民共和国境外货物和服务投标货币：美元或其他国际主要流通货币。</w:t>
            </w:r>
          </w:p>
        </w:tc>
      </w:tr>
      <w:tr>
        <w:tblPrEx>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13.1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rPr>
            </w:pPr>
            <w:r>
              <w:rPr>
                <w:rFonts w:cs="宋体;SimSun" w:asciiTheme="majorEastAsia" w:hAnsiTheme="majorEastAsia" w:eastAsiaTheme="majorEastAsia"/>
                <w:sz w:val="24"/>
              </w:rPr>
              <w:t>本次招标不允许联合体投标。</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b/>
                <w:sz w:val="24"/>
              </w:rPr>
              <w:t>投 标 文 件 的 编 制 和 递 交</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13.3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tcPr>
          <w:p>
            <w:pPr>
              <w:spacing w:line="420" w:lineRule="exact"/>
              <w:rPr>
                <w:rFonts w:cs="宋体;SimSun" w:asciiTheme="majorEastAsia" w:hAnsiTheme="majorEastAsia" w:eastAsiaTheme="majorEastAsia"/>
                <w:b/>
              </w:rPr>
            </w:pPr>
            <w:r>
              <w:rPr>
                <w:rFonts w:cs="宋体;SimSun" w:asciiTheme="majorEastAsia" w:hAnsiTheme="majorEastAsia" w:eastAsiaTheme="majorEastAsia"/>
                <w:b/>
                <w:sz w:val="24"/>
              </w:rPr>
              <w:t>资格证明文件：</w:t>
            </w:r>
          </w:p>
          <w:p>
            <w:pPr>
              <w:spacing w:line="420" w:lineRule="exact"/>
              <w:ind w:firstLine="432"/>
              <w:rPr>
                <w:rFonts w:cs="宋体;SimSun" w:asciiTheme="majorEastAsia" w:hAnsiTheme="majorEastAsia" w:eastAsiaTheme="majorEastAsia"/>
              </w:rPr>
            </w:pPr>
            <w:r>
              <w:rPr>
                <w:rFonts w:cs="宋体;SimSun" w:asciiTheme="majorEastAsia" w:hAnsiTheme="majorEastAsia" w:eastAsiaTheme="majorEastAsia"/>
                <w:sz w:val="24"/>
              </w:rPr>
              <w:t>1．如果投标人按照合同提供的货物不是投标人自己制造的，投标人应得到并提供货物制造商同意其在本次投标中提供货物的正式授权书。（格式见第四章制造商出具的授权函）</w:t>
            </w:r>
          </w:p>
          <w:p>
            <w:pPr>
              <w:snapToGrid w:val="0"/>
              <w:spacing w:line="420" w:lineRule="exact"/>
              <w:ind w:firstLine="432"/>
              <w:rPr>
                <w:rFonts w:asciiTheme="majorEastAsia" w:hAnsiTheme="majorEastAsia" w:eastAsiaTheme="majorEastAsia"/>
                <w:highlight w:val="yellow"/>
              </w:rPr>
            </w:pPr>
            <w:r>
              <w:rPr>
                <w:rFonts w:cs="宋体;SimSun" w:asciiTheme="majorEastAsia" w:hAnsiTheme="majorEastAsia" w:eastAsiaTheme="majorEastAsia"/>
                <w:sz w:val="24"/>
                <w:highlight w:val="none"/>
              </w:rPr>
              <w:t>2.</w:t>
            </w:r>
            <w:r>
              <w:rPr>
                <w:rFonts w:hint="eastAsia" w:ascii="宋体" w:hAnsi="宋体"/>
                <w:bCs/>
                <w:sz w:val="24"/>
                <w:highlight w:val="none"/>
              </w:rPr>
              <w:t>所投货物若属于医疗器械管理范畴，按照国家《医疗器械监督管理条例》，应符合以下标准： (1).投标人为供货商的，应提供《医疗器械经营企业许可证》复印件；所投产品若属于二类医疗器械，也可以提供《二类医疗器械经营备案凭证》复印件；投标人为制造商的，应提供《医疗器械生产企业许可证》复印件； 证件必须在有效期内； (2).投标人所投产品若属于第二类或第三类医疗器械，应提供完整的《医疗器械注册证》复印件(如有注册登记表应提供)；所投产品若属于第一类医疗器械，应提供《第一类医疗器械产品备案》复印件，证件必须在有效期内。</w:t>
            </w:r>
          </w:p>
          <w:p>
            <w:pPr>
              <w:snapToGrid w:val="0"/>
              <w:spacing w:line="420" w:lineRule="exact"/>
              <w:ind w:firstLine="432"/>
              <w:rPr>
                <w:rFonts w:asciiTheme="majorEastAsia" w:hAnsiTheme="majorEastAsia" w:eastAsiaTheme="majorEastAsia"/>
                <w:szCs w:val="21"/>
              </w:rPr>
            </w:pPr>
            <w:r>
              <w:rPr>
                <w:rFonts w:hint="eastAsia" w:asciiTheme="majorEastAsia" w:hAnsiTheme="majorEastAsia" w:eastAsiaTheme="majorEastAsia"/>
                <w:sz w:val="24"/>
                <w:szCs w:val="21"/>
              </w:rPr>
              <w:t>3.境内投标人应提供</w:t>
            </w:r>
            <w:r>
              <w:rPr>
                <w:rFonts w:hint="eastAsia" w:asciiTheme="majorEastAsia" w:hAnsiTheme="majorEastAsia" w:eastAsiaTheme="majorEastAsia"/>
                <w:sz w:val="24"/>
              </w:rPr>
              <w:t>合格的</w:t>
            </w:r>
            <w:r>
              <w:rPr>
                <w:rFonts w:hint="eastAsia" w:asciiTheme="majorEastAsia" w:hAnsiTheme="majorEastAsia" w:eastAsiaTheme="majorEastAsia"/>
                <w:sz w:val="24"/>
                <w:szCs w:val="21"/>
              </w:rPr>
              <w:t>营业执照复印件。</w:t>
            </w:r>
          </w:p>
          <w:p>
            <w:pPr>
              <w:snapToGrid w:val="0"/>
              <w:spacing w:line="420" w:lineRule="exact"/>
              <w:ind w:firstLine="432"/>
              <w:rPr>
                <w:rFonts w:asciiTheme="majorEastAsia" w:hAnsiTheme="majorEastAsia" w:eastAsiaTheme="majorEastAsia"/>
              </w:rPr>
            </w:pPr>
            <w:r>
              <w:rPr>
                <w:rFonts w:hint="eastAsia" w:cs="宋体;SimSun" w:asciiTheme="majorEastAsia" w:hAnsiTheme="majorEastAsia" w:eastAsiaTheme="majorEastAsia"/>
                <w:sz w:val="24"/>
                <w:lang w:val="en-US" w:eastAsia="zh-CN"/>
              </w:rPr>
              <w:t>4</w:t>
            </w:r>
            <w:r>
              <w:rPr>
                <w:rFonts w:cs="宋体;SimSun" w:asciiTheme="majorEastAsia" w:hAnsiTheme="majorEastAsia" w:eastAsiaTheme="majorEastAsia"/>
                <w:sz w:val="24"/>
              </w:rPr>
              <w:t>．</w:t>
            </w:r>
            <w:r>
              <w:rPr>
                <w:rFonts w:cs="宋体;SimSun" w:asciiTheme="majorEastAsia" w:hAnsiTheme="majorEastAsia" w:eastAsiaTheme="majorEastAsia"/>
                <w:bCs/>
                <w:sz w:val="24"/>
              </w:rPr>
              <w:t>投标人应当提供在开标前三个月内由其开立基本账户的银行开具的银行资信证明的原件或复印件。</w:t>
            </w:r>
          </w:p>
          <w:p>
            <w:pPr>
              <w:spacing w:line="420" w:lineRule="exact"/>
              <w:ind w:firstLine="432"/>
              <w:rPr>
                <w:rFonts w:asciiTheme="majorEastAsia" w:hAnsiTheme="majorEastAsia" w:eastAsiaTheme="majorEastAsia"/>
              </w:rPr>
            </w:pPr>
            <w:r>
              <w:rPr>
                <w:rFonts w:hint="eastAsia" w:cs="宋体;SimSun" w:asciiTheme="majorEastAsia" w:hAnsiTheme="majorEastAsia" w:eastAsiaTheme="majorEastAsia"/>
                <w:sz w:val="24"/>
                <w:lang w:val="en-US" w:eastAsia="zh-CN"/>
              </w:rPr>
              <w:t>5</w:t>
            </w:r>
            <w:r>
              <w:rPr>
                <w:rFonts w:cs="宋体;SimSun" w:asciiTheme="majorEastAsia" w:hAnsiTheme="majorEastAsia" w:eastAsiaTheme="majorEastAsia"/>
                <w:sz w:val="24"/>
              </w:rPr>
              <w:t>．</w:t>
            </w:r>
            <w:r>
              <w:rPr>
                <w:rFonts w:cs="宋体;SimSun" w:asciiTheme="majorEastAsia" w:hAnsiTheme="majorEastAsia" w:eastAsiaTheme="majorEastAsia"/>
                <w:sz w:val="24"/>
                <w:szCs w:val="21"/>
              </w:rPr>
              <w:t>境内投标人</w:t>
            </w:r>
            <w:r>
              <w:rPr>
                <w:rFonts w:cs="宋体;SimSun" w:asciiTheme="majorEastAsia" w:hAnsiTheme="majorEastAsia" w:eastAsiaTheme="majorEastAsia"/>
                <w:sz w:val="24"/>
              </w:rPr>
              <w:t>的授权代表须将以书面形式出具的《单位负责人授权书》附在投标文件中，授权书应加盖投标人企业公章。如法定代表人自身参加投标，不需此项。</w:t>
            </w:r>
          </w:p>
          <w:p>
            <w:pPr>
              <w:spacing w:line="420" w:lineRule="exact"/>
              <w:ind w:firstLine="480"/>
              <w:rPr>
                <w:rFonts w:cs="宋体;SimSun" w:asciiTheme="majorEastAsia" w:hAnsiTheme="majorEastAsia" w:eastAsiaTheme="majorEastAsia"/>
                <w:iCs/>
                <w:u w:val="single"/>
              </w:rPr>
            </w:pPr>
            <w:r>
              <w:rPr>
                <w:rFonts w:cs="宋体;SimSun" w:asciiTheme="majorEastAsia" w:hAnsiTheme="majorEastAsia" w:eastAsiaTheme="majorEastAsia"/>
                <w:sz w:val="24"/>
              </w:rPr>
              <w:t>评标委员会将保留评标时对所有资格证明文件原件的核查权力。</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14.3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rPr>
            </w:pPr>
            <w:r>
              <w:rPr>
                <w:rFonts w:cs="宋体;SimSun" w:asciiTheme="majorEastAsia" w:hAnsiTheme="majorEastAsia" w:eastAsiaTheme="majorEastAsia"/>
                <w:sz w:val="24"/>
              </w:rPr>
              <w:t>货物验收后运行</w:t>
            </w:r>
            <w:r>
              <w:rPr>
                <w:rFonts w:hint="eastAsia" w:cs="宋体;SimSun" w:asciiTheme="majorEastAsia" w:hAnsiTheme="majorEastAsia" w:eastAsiaTheme="majorEastAsia"/>
                <w:sz w:val="24"/>
                <w:u w:val="single"/>
              </w:rPr>
              <w:t xml:space="preserve"> 2 </w:t>
            </w:r>
            <w:r>
              <w:rPr>
                <w:rFonts w:cs="宋体;SimSun" w:asciiTheme="majorEastAsia" w:hAnsiTheme="majorEastAsia" w:eastAsiaTheme="majorEastAsia"/>
                <w:sz w:val="24"/>
              </w:rPr>
              <w:t>年所需的备件</w:t>
            </w:r>
            <w:r>
              <w:rPr>
                <w:rFonts w:hint="eastAsia" w:cs="宋体;SimSun" w:asciiTheme="majorEastAsia" w:hAnsiTheme="majorEastAsia" w:eastAsiaTheme="majorEastAsia"/>
                <w:sz w:val="24"/>
              </w:rPr>
              <w:t>和专用工具清单</w:t>
            </w:r>
            <w:r>
              <w:rPr>
                <w:rFonts w:cs="宋体;SimSun" w:asciiTheme="majorEastAsia" w:hAnsiTheme="majorEastAsia" w:eastAsiaTheme="majorEastAsia"/>
                <w:sz w:val="24"/>
              </w:rPr>
              <w:t>。</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15.1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投标保证金金额：</w:t>
            </w:r>
            <w:r>
              <w:rPr>
                <w:rFonts w:hint="eastAsia" w:cs="宋体;SimSun" w:asciiTheme="majorEastAsia" w:hAnsiTheme="majorEastAsia" w:eastAsiaTheme="majorEastAsia"/>
                <w:sz w:val="24"/>
                <w:u w:val="single"/>
              </w:rPr>
              <w:t>合同包1为168</w:t>
            </w:r>
            <w:r>
              <w:rPr>
                <w:rFonts w:cs="宋体;SimSun" w:asciiTheme="majorEastAsia" w:hAnsiTheme="majorEastAsia" w:eastAsiaTheme="majorEastAsia"/>
                <w:sz w:val="24"/>
                <w:u w:val="single"/>
              </w:rPr>
              <w:t>万元人民币</w:t>
            </w:r>
            <w:r>
              <w:rPr>
                <w:rFonts w:hint="eastAsia" w:cs="宋体;SimSun" w:asciiTheme="majorEastAsia" w:hAnsiTheme="majorEastAsia" w:eastAsiaTheme="majorEastAsia"/>
                <w:sz w:val="24"/>
                <w:u w:val="single"/>
              </w:rPr>
              <w:t>，合同包2为</w:t>
            </w:r>
            <w:r>
              <w:rPr>
                <w:rFonts w:hint="eastAsia" w:cs="宋体;SimSun" w:asciiTheme="majorEastAsia" w:hAnsiTheme="majorEastAsia" w:eastAsiaTheme="majorEastAsia"/>
                <w:b/>
                <w:sz w:val="24"/>
                <w:u w:val="single"/>
              </w:rPr>
              <w:t xml:space="preserve"> </w:t>
            </w:r>
            <w:r>
              <w:rPr>
                <w:rFonts w:hint="eastAsia" w:cs="宋体;SimSun" w:asciiTheme="majorEastAsia" w:hAnsiTheme="majorEastAsia" w:eastAsiaTheme="majorEastAsia"/>
                <w:sz w:val="24"/>
                <w:u w:val="single"/>
              </w:rPr>
              <w:t>108</w:t>
            </w:r>
            <w:r>
              <w:rPr>
                <w:rFonts w:cs="宋体;SimSun" w:asciiTheme="majorEastAsia" w:hAnsiTheme="majorEastAsia" w:eastAsiaTheme="majorEastAsia"/>
                <w:sz w:val="24"/>
                <w:u w:val="single"/>
              </w:rPr>
              <w:t>万元人民币</w:t>
            </w:r>
            <w:r>
              <w:rPr>
                <w:rFonts w:hint="eastAsia" w:cs="宋体;SimSun" w:asciiTheme="majorEastAsia" w:hAnsiTheme="majorEastAsia" w:eastAsiaTheme="majorEastAsia"/>
                <w:sz w:val="24"/>
                <w:u w:val="single"/>
              </w:rPr>
              <w:t>。</w:t>
            </w:r>
            <w:r>
              <w:rPr>
                <w:rFonts w:hint="eastAsia" w:cs="宋体;SimSun" w:asciiTheme="majorEastAsia" w:hAnsiTheme="majorEastAsia" w:eastAsiaTheme="majorEastAsia"/>
                <w:sz w:val="24"/>
              </w:rPr>
              <w:t>【</w:t>
            </w:r>
            <w:r>
              <w:rPr>
                <w:rFonts w:cs="宋体;SimSun" w:asciiTheme="majorEastAsia" w:hAnsiTheme="majorEastAsia" w:eastAsiaTheme="majorEastAsia"/>
                <w:sz w:val="24"/>
              </w:rPr>
              <w:t>投标保证金须在投标截止时间前到达招标代理机构指定帐户（招标代理机构将以开户银行提供的投标保证金到账时间为依据进行确认），如投标保证金不按规定全额到账，投标人将被视为未递交投标保证金，其投标将被拒绝】</w:t>
            </w:r>
            <w:r>
              <w:rPr>
                <w:rFonts w:cs="宋体;SimSun" w:asciiTheme="majorEastAsia" w:hAnsiTheme="majorEastAsia" w:eastAsiaTheme="majorEastAsia"/>
                <w:b/>
                <w:sz w:val="24"/>
              </w:rPr>
              <w:t>。</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15.3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投标保证金形式：汇票、</w:t>
            </w:r>
            <w:r>
              <w:rPr>
                <w:rFonts w:hint="eastAsia" w:cs="宋体;SimSun" w:asciiTheme="majorEastAsia" w:hAnsiTheme="majorEastAsia" w:eastAsiaTheme="majorEastAsia"/>
                <w:sz w:val="24"/>
              </w:rPr>
              <w:t>网银</w:t>
            </w:r>
            <w:r>
              <w:rPr>
                <w:rFonts w:cs="宋体;SimSun" w:asciiTheme="majorEastAsia" w:hAnsiTheme="majorEastAsia" w:eastAsiaTheme="majorEastAsia"/>
                <w:sz w:val="24"/>
              </w:rPr>
              <w:t>转帐</w:t>
            </w:r>
            <w:r>
              <w:rPr>
                <w:rFonts w:hint="eastAsia" w:cs="宋体;SimSun" w:asciiTheme="majorEastAsia" w:hAnsiTheme="majorEastAsia" w:eastAsiaTheme="majorEastAsia"/>
                <w:sz w:val="24"/>
              </w:rPr>
              <w:t>或</w:t>
            </w:r>
            <w:r>
              <w:rPr>
                <w:rFonts w:cs="宋体;SimSun" w:asciiTheme="majorEastAsia" w:hAnsiTheme="majorEastAsia" w:eastAsiaTheme="majorEastAsia"/>
                <w:sz w:val="24"/>
              </w:rPr>
              <w:t>现金支票</w:t>
            </w:r>
            <w:r>
              <w:rPr>
                <w:rFonts w:hint="eastAsia" w:cs="宋体;SimSun" w:asciiTheme="majorEastAsia" w:hAnsiTheme="majorEastAsia" w:eastAsiaTheme="majorEastAsia"/>
                <w:sz w:val="24"/>
              </w:rPr>
              <w:t>等</w:t>
            </w:r>
            <w:r>
              <w:rPr>
                <w:rFonts w:cs="宋体;SimSun" w:asciiTheme="majorEastAsia" w:hAnsiTheme="majorEastAsia" w:eastAsiaTheme="majorEastAsia"/>
                <w:sz w:val="24"/>
              </w:rPr>
              <w:t>。（以</w:t>
            </w:r>
            <w:r>
              <w:rPr>
                <w:rFonts w:hint="eastAsia" w:cs="宋体;SimSun" w:asciiTheme="majorEastAsia" w:hAnsiTheme="majorEastAsia" w:eastAsiaTheme="majorEastAsia"/>
                <w:sz w:val="24"/>
              </w:rPr>
              <w:t>现金或</w:t>
            </w:r>
            <w:r>
              <w:rPr>
                <w:rFonts w:cs="宋体;SimSun" w:asciiTheme="majorEastAsia" w:hAnsiTheme="majorEastAsia" w:eastAsiaTheme="majorEastAsia"/>
                <w:sz w:val="24"/>
              </w:rPr>
              <w:t>支票形式提交的投标保证金应当从基本账户转出）</w:t>
            </w:r>
            <w:r>
              <w:rPr>
                <w:rFonts w:hint="eastAsia" w:cs="宋体;SimSun" w:asciiTheme="majorEastAsia" w:hAnsiTheme="majorEastAsia" w:eastAsiaTheme="majorEastAsia"/>
                <w:sz w:val="24"/>
              </w:rPr>
              <w:t>。</w:t>
            </w:r>
          </w:p>
          <w:p>
            <w:pPr>
              <w:spacing w:line="420" w:lineRule="exact"/>
              <w:jc w:val="left"/>
              <w:rPr>
                <w:rFonts w:cs="宋体;SimSun" w:asciiTheme="majorEastAsia" w:hAnsiTheme="majorEastAsia" w:eastAsiaTheme="majorEastAsia"/>
                <w:bCs/>
              </w:rPr>
            </w:pPr>
            <w:r>
              <w:rPr>
                <w:rFonts w:cs="宋体;SimSun" w:asciiTheme="majorEastAsia" w:hAnsiTheme="majorEastAsia" w:eastAsiaTheme="majorEastAsia"/>
                <w:bCs/>
                <w:sz w:val="24"/>
              </w:rPr>
              <w:t>投标保证金应在投标有效期截止日后90天内有效。</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16.1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rPr>
            </w:pPr>
            <w:r>
              <w:rPr>
                <w:rFonts w:cs="宋体;SimSun" w:asciiTheme="majorEastAsia" w:hAnsiTheme="majorEastAsia" w:eastAsiaTheme="majorEastAsia"/>
                <w:sz w:val="24"/>
              </w:rPr>
              <w:t>投标有效期：90天，投标有效期不满足，将导致其投标文件被拒绝。</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17.1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正本壹份，副本伍份（其中至少有一份中文本）</w:t>
            </w:r>
            <w:r>
              <w:rPr>
                <w:rFonts w:hint="eastAsia" w:ascii="宋体" w:hAnsi="宋体"/>
                <w:sz w:val="24"/>
              </w:rPr>
              <w:t>，电子版（U盘或光盘）：</w:t>
            </w:r>
            <w:r>
              <w:rPr>
                <w:rFonts w:hint="eastAsia" w:ascii="宋体" w:hAnsi="宋体"/>
                <w:sz w:val="24"/>
                <w:u w:val="single"/>
              </w:rPr>
              <w:t xml:space="preserve"> 壹 </w:t>
            </w:r>
            <w:r>
              <w:rPr>
                <w:rFonts w:hint="eastAsia" w:ascii="宋体" w:hAnsi="宋体"/>
                <w:sz w:val="24"/>
              </w:rPr>
              <w:t>份，电子版与投标文件正本包装在同一信封内</w:t>
            </w:r>
            <w:r>
              <w:rPr>
                <w:rFonts w:cs="宋体;SimSun" w:asciiTheme="majorEastAsia" w:hAnsiTheme="majorEastAsia" w:eastAsiaTheme="majorEastAsia"/>
                <w:sz w:val="24"/>
              </w:rPr>
              <w:t>。正、副本均须胶装（永久性、无破坏不可拆分）装订成册，应编制封面、目录、页码，</w:t>
            </w:r>
            <w:r>
              <w:rPr>
                <w:rFonts w:cs="宋体;SimSun" w:asciiTheme="majorEastAsia" w:hAnsiTheme="majorEastAsia" w:eastAsiaTheme="majorEastAsia"/>
                <w:b/>
                <w:sz w:val="24"/>
              </w:rPr>
              <w:t>同时提供电子介质的投标文件</w:t>
            </w:r>
            <w:r>
              <w:rPr>
                <w:rFonts w:cs="宋体;SimSun" w:asciiTheme="majorEastAsia" w:hAnsiTheme="majorEastAsia" w:eastAsiaTheme="majorEastAsia"/>
                <w:sz w:val="24"/>
              </w:rPr>
              <w:t>，须与纸质版一致。</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hint="eastAsia" w:ascii="宋体" w:hAnsi="宋体"/>
                <w:b/>
                <w:sz w:val="24"/>
              </w:rPr>
              <w:t xml:space="preserve">* </w:t>
            </w:r>
            <w:r>
              <w:rPr>
                <w:rFonts w:cs="宋体;SimSun" w:asciiTheme="majorEastAsia" w:hAnsiTheme="majorEastAsia" w:eastAsiaTheme="majorEastAsia"/>
                <w:sz w:val="24"/>
              </w:rPr>
              <w:t>17.2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投标文件正本</w:t>
            </w:r>
            <w:r>
              <w:rPr>
                <w:rFonts w:cs="Tahoma" w:asciiTheme="majorEastAsia" w:hAnsiTheme="majorEastAsia" w:eastAsiaTheme="majorEastAsia"/>
                <w:sz w:val="24"/>
              </w:rPr>
              <w:t>的报价部分、重要商务和技术条款（参数）（加注“</w:t>
            </w:r>
            <w:r>
              <w:rPr>
                <w:rFonts w:hint="eastAsia" w:ascii="宋体" w:hAnsi="宋体"/>
                <w:b/>
                <w:sz w:val="24"/>
              </w:rPr>
              <w:t>*</w:t>
            </w:r>
            <w:r>
              <w:rPr>
                <w:rFonts w:cs="Tahoma" w:asciiTheme="majorEastAsia" w:hAnsiTheme="majorEastAsia" w:eastAsiaTheme="majorEastAsia"/>
                <w:sz w:val="24"/>
              </w:rPr>
              <w:t>”的条款或参数）响应等相应内容</w:t>
            </w:r>
            <w:r>
              <w:rPr>
                <w:rFonts w:cs="宋体;SimSun" w:asciiTheme="majorEastAsia" w:hAnsiTheme="majorEastAsia" w:eastAsiaTheme="majorEastAsia"/>
                <w:sz w:val="24"/>
              </w:rPr>
              <w:t>必须逐页小签，否则构成废标。</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18.2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rPr>
            </w:pPr>
            <w:r>
              <w:rPr>
                <w:rFonts w:cs="宋体;SimSun" w:asciiTheme="majorEastAsia" w:hAnsiTheme="majorEastAsia" w:eastAsiaTheme="majorEastAsia"/>
                <w:sz w:val="24"/>
              </w:rPr>
              <w:t>投标</w:t>
            </w:r>
            <w:r>
              <w:rPr>
                <w:rFonts w:hint="eastAsia" w:cs="宋体;SimSun" w:asciiTheme="majorEastAsia" w:hAnsiTheme="majorEastAsia" w:eastAsiaTheme="majorEastAsia"/>
                <w:sz w:val="24"/>
              </w:rPr>
              <w:t>文件</w:t>
            </w:r>
            <w:r>
              <w:rPr>
                <w:rFonts w:cs="宋体;SimSun" w:asciiTheme="majorEastAsia" w:hAnsiTheme="majorEastAsia" w:eastAsiaTheme="majorEastAsia"/>
                <w:sz w:val="24"/>
              </w:rPr>
              <w:t>递交至：</w:t>
            </w:r>
            <w:r>
              <w:rPr>
                <w:rFonts w:hint="eastAsia" w:cs="宋体;SimSun" w:asciiTheme="majorEastAsia" w:hAnsiTheme="majorEastAsia" w:eastAsiaTheme="majorEastAsia"/>
                <w:sz w:val="24"/>
                <w:u w:val="single"/>
              </w:rPr>
              <w:t>福建省新卫招标代理有限公司</w:t>
            </w:r>
            <w:r>
              <w:rPr>
                <w:rFonts w:cs="宋体;SimSun" w:asciiTheme="majorEastAsia" w:hAnsiTheme="majorEastAsia" w:eastAsiaTheme="majorEastAsia"/>
                <w:sz w:val="24"/>
              </w:rPr>
              <w:t>【</w:t>
            </w:r>
            <w:r>
              <w:rPr>
                <w:rFonts w:hint="eastAsia" w:cs="宋体;SimSun" w:asciiTheme="majorEastAsia" w:hAnsiTheme="majorEastAsia" w:eastAsiaTheme="majorEastAsia"/>
                <w:sz w:val="24"/>
                <w:u w:val="single"/>
              </w:rPr>
              <w:t>福建省福州市西二环中路301号东南医药大楼六层开标厅</w:t>
            </w:r>
            <w:r>
              <w:rPr>
                <w:rFonts w:cs="宋体;SimSun" w:asciiTheme="majorEastAsia" w:hAnsiTheme="majorEastAsia" w:eastAsiaTheme="majorEastAsia"/>
                <w:sz w:val="24"/>
              </w:rPr>
              <w:t>】</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18.2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u w:val="single"/>
              </w:rPr>
            </w:pPr>
            <w:r>
              <w:rPr>
                <w:rFonts w:cs="宋体;SimSun" w:asciiTheme="majorEastAsia" w:hAnsiTheme="majorEastAsia" w:eastAsiaTheme="majorEastAsia"/>
                <w:sz w:val="24"/>
                <w:u w:val="single"/>
              </w:rPr>
              <w:t>投标邀请的标题：</w:t>
            </w:r>
            <w:r>
              <w:rPr>
                <w:rFonts w:hint="eastAsia" w:cs="宋体;SimSun" w:asciiTheme="majorEastAsia" w:hAnsiTheme="majorEastAsia" w:eastAsiaTheme="majorEastAsia"/>
                <w:sz w:val="24"/>
                <w:u w:val="single"/>
              </w:rPr>
              <w:t>福建省部分乙类大型医用设备（2021年第一批次）集中采购项目</w:t>
            </w:r>
          </w:p>
          <w:p>
            <w:pPr>
              <w:pStyle w:val="14"/>
              <w:spacing w:line="420" w:lineRule="exact"/>
              <w:rPr>
                <w:rFonts w:cs="宋体;SimSun" w:asciiTheme="majorEastAsia" w:hAnsiTheme="majorEastAsia" w:eastAsiaTheme="majorEastAsia"/>
                <w:i/>
                <w:szCs w:val="24"/>
              </w:rPr>
            </w:pPr>
            <w:r>
              <w:rPr>
                <w:rFonts w:cs="宋体;SimSun" w:asciiTheme="majorEastAsia" w:hAnsiTheme="majorEastAsia" w:eastAsiaTheme="majorEastAsia"/>
                <w:sz w:val="24"/>
                <w:szCs w:val="24"/>
                <w:u w:val="single"/>
              </w:rPr>
              <w:t>编  　    　号：</w:t>
            </w:r>
            <w:r>
              <w:rPr>
                <w:rFonts w:hint="eastAsia" w:cs="宋体;SimSun" w:asciiTheme="majorEastAsia" w:hAnsiTheme="majorEastAsia" w:eastAsiaTheme="majorEastAsia"/>
                <w:sz w:val="24"/>
                <w:szCs w:val="24"/>
                <w:u w:val="single"/>
              </w:rPr>
              <w:t>1051-214FJXW21001</w:t>
            </w:r>
            <w:r>
              <w:rPr>
                <w:rFonts w:cs="宋体;SimSun" w:asciiTheme="majorEastAsia" w:hAnsiTheme="majorEastAsia" w:eastAsiaTheme="majorEastAsia"/>
                <w:sz w:val="24"/>
                <w:szCs w:val="24"/>
                <w:u w:val="single"/>
              </w:rPr>
              <w:t xml:space="preserve"> </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19.1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highlight w:val="none"/>
              </w:rPr>
            </w:pPr>
            <w:r>
              <w:rPr>
                <w:rFonts w:cs="宋体;SimSun" w:asciiTheme="majorEastAsia" w:hAnsiTheme="majorEastAsia" w:eastAsiaTheme="majorEastAsia"/>
                <w:sz w:val="24"/>
                <w:highlight w:val="none"/>
              </w:rPr>
              <w:t>投标截止期：</w:t>
            </w:r>
            <w:r>
              <w:rPr>
                <w:rFonts w:cs="宋体;SimSun" w:asciiTheme="majorEastAsia" w:hAnsiTheme="majorEastAsia" w:eastAsiaTheme="majorEastAsia"/>
                <w:b/>
                <w:sz w:val="24"/>
                <w:highlight w:val="none"/>
                <w:u w:val="single"/>
              </w:rPr>
              <w:t>20</w:t>
            </w:r>
            <w:r>
              <w:rPr>
                <w:rFonts w:hint="eastAsia" w:cs="宋体;SimSun" w:asciiTheme="majorEastAsia" w:hAnsiTheme="majorEastAsia" w:eastAsiaTheme="majorEastAsia"/>
                <w:b/>
                <w:sz w:val="24"/>
                <w:highlight w:val="none"/>
                <w:u w:val="single"/>
              </w:rPr>
              <w:t>21</w:t>
            </w:r>
            <w:r>
              <w:rPr>
                <w:rFonts w:cs="宋体;SimSun" w:asciiTheme="majorEastAsia" w:hAnsiTheme="majorEastAsia" w:eastAsiaTheme="majorEastAsia"/>
                <w:b/>
                <w:sz w:val="24"/>
                <w:highlight w:val="none"/>
                <w:u w:val="single"/>
              </w:rPr>
              <w:t>年</w:t>
            </w:r>
            <w:r>
              <w:rPr>
                <w:rFonts w:hint="eastAsia" w:cs="宋体;SimSun" w:asciiTheme="majorEastAsia" w:hAnsiTheme="majorEastAsia" w:eastAsiaTheme="majorEastAsia"/>
                <w:b/>
                <w:sz w:val="24"/>
                <w:highlight w:val="none"/>
                <w:u w:val="single"/>
              </w:rPr>
              <w:t xml:space="preserve">  月  日  </w:t>
            </w:r>
            <w:r>
              <w:rPr>
                <w:rFonts w:cs="宋体;SimSun" w:asciiTheme="majorEastAsia" w:hAnsiTheme="majorEastAsia" w:eastAsiaTheme="majorEastAsia"/>
                <w:b/>
                <w:sz w:val="24"/>
                <w:highlight w:val="none"/>
                <w:u w:val="single"/>
              </w:rPr>
              <w:t>:</w:t>
            </w:r>
            <w:r>
              <w:rPr>
                <w:rFonts w:hint="eastAsia" w:cs="宋体;SimSun" w:asciiTheme="majorEastAsia" w:hAnsiTheme="majorEastAsia" w:eastAsiaTheme="majorEastAsia"/>
                <w:b/>
                <w:sz w:val="24"/>
                <w:highlight w:val="none"/>
                <w:u w:val="single"/>
              </w:rPr>
              <w:t xml:space="preserve">  </w:t>
            </w:r>
            <w:r>
              <w:rPr>
                <w:rFonts w:cs="宋体;SimSun" w:asciiTheme="majorEastAsia" w:hAnsiTheme="majorEastAsia" w:eastAsiaTheme="majorEastAsia"/>
                <w:b/>
                <w:sz w:val="24"/>
                <w:highlight w:val="none"/>
                <w:u w:val="single"/>
              </w:rPr>
              <w:t>（北京时间）</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b/>
                <w:sz w:val="24"/>
              </w:rPr>
              <w:t>开 标 与 评 标</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highlight w:val="none"/>
              </w:rPr>
            </w:pPr>
            <w:r>
              <w:rPr>
                <w:rFonts w:cs="宋体;SimSun" w:asciiTheme="majorEastAsia" w:hAnsiTheme="majorEastAsia" w:eastAsiaTheme="majorEastAsia"/>
                <w:sz w:val="24"/>
                <w:highlight w:val="none"/>
              </w:rPr>
              <w:t>22.1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highlight w:val="none"/>
              </w:rPr>
            </w:pPr>
            <w:r>
              <w:rPr>
                <w:rFonts w:cs="宋体;SimSun" w:asciiTheme="majorEastAsia" w:hAnsiTheme="majorEastAsia" w:eastAsiaTheme="majorEastAsia"/>
                <w:sz w:val="24"/>
                <w:highlight w:val="none"/>
              </w:rPr>
              <w:t>开标日期：</w:t>
            </w:r>
            <w:r>
              <w:rPr>
                <w:rFonts w:cs="宋体;SimSun" w:asciiTheme="majorEastAsia" w:hAnsiTheme="majorEastAsia" w:eastAsiaTheme="majorEastAsia"/>
                <w:b/>
                <w:sz w:val="24"/>
                <w:highlight w:val="none"/>
                <w:u w:val="single"/>
              </w:rPr>
              <w:t>20</w:t>
            </w:r>
            <w:r>
              <w:rPr>
                <w:rFonts w:hint="eastAsia" w:cs="宋体;SimSun" w:asciiTheme="majorEastAsia" w:hAnsiTheme="majorEastAsia" w:eastAsiaTheme="majorEastAsia"/>
                <w:b/>
                <w:sz w:val="24"/>
                <w:highlight w:val="none"/>
                <w:u w:val="single"/>
              </w:rPr>
              <w:t>21</w:t>
            </w:r>
            <w:r>
              <w:rPr>
                <w:rFonts w:cs="宋体;SimSun" w:asciiTheme="majorEastAsia" w:hAnsiTheme="majorEastAsia" w:eastAsiaTheme="majorEastAsia"/>
                <w:b/>
                <w:sz w:val="24"/>
                <w:highlight w:val="none"/>
                <w:u w:val="single"/>
              </w:rPr>
              <w:t>年</w:t>
            </w:r>
            <w:r>
              <w:rPr>
                <w:rFonts w:hint="eastAsia" w:cs="宋体;SimSun" w:asciiTheme="majorEastAsia" w:hAnsiTheme="majorEastAsia" w:eastAsiaTheme="majorEastAsia"/>
                <w:b/>
                <w:sz w:val="24"/>
                <w:highlight w:val="none"/>
                <w:u w:val="single"/>
              </w:rPr>
              <w:t xml:space="preserve">  月  日  </w:t>
            </w:r>
            <w:r>
              <w:rPr>
                <w:rFonts w:cs="宋体;SimSun" w:asciiTheme="majorEastAsia" w:hAnsiTheme="majorEastAsia" w:eastAsiaTheme="majorEastAsia"/>
                <w:b/>
                <w:sz w:val="24"/>
                <w:highlight w:val="none"/>
                <w:u w:val="single"/>
              </w:rPr>
              <w:t>:</w:t>
            </w:r>
            <w:r>
              <w:rPr>
                <w:rFonts w:hint="eastAsia" w:cs="宋体;SimSun" w:asciiTheme="majorEastAsia" w:hAnsiTheme="majorEastAsia" w:eastAsiaTheme="majorEastAsia"/>
                <w:b/>
                <w:sz w:val="24"/>
                <w:highlight w:val="none"/>
                <w:u w:val="single"/>
              </w:rPr>
              <w:t xml:space="preserve">  </w:t>
            </w:r>
            <w:r>
              <w:rPr>
                <w:rFonts w:cs="宋体;SimSun" w:asciiTheme="majorEastAsia" w:hAnsiTheme="majorEastAsia" w:eastAsiaTheme="majorEastAsia"/>
                <w:b/>
                <w:sz w:val="24"/>
                <w:highlight w:val="none"/>
                <w:u w:val="single"/>
              </w:rPr>
              <w:t>（北京时间）</w:t>
            </w:r>
          </w:p>
          <w:p>
            <w:pPr>
              <w:spacing w:line="420" w:lineRule="exact"/>
              <w:jc w:val="left"/>
              <w:rPr>
                <w:rFonts w:cs="宋体;SimSun" w:asciiTheme="majorEastAsia" w:hAnsiTheme="majorEastAsia" w:eastAsiaTheme="majorEastAsia"/>
                <w:highlight w:val="none"/>
              </w:rPr>
            </w:pPr>
            <w:r>
              <w:rPr>
                <w:rFonts w:cs="宋体;SimSun" w:asciiTheme="majorEastAsia" w:hAnsiTheme="majorEastAsia" w:eastAsiaTheme="majorEastAsia"/>
                <w:sz w:val="24"/>
                <w:highlight w:val="none"/>
              </w:rPr>
              <w:t>地    点：</w:t>
            </w:r>
            <w:r>
              <w:rPr>
                <w:rFonts w:hint="eastAsia" w:cs="宋体;SimSun" w:asciiTheme="majorEastAsia" w:hAnsiTheme="majorEastAsia" w:eastAsiaTheme="majorEastAsia"/>
                <w:sz w:val="24"/>
                <w:highlight w:val="none"/>
                <w:u w:val="single"/>
              </w:rPr>
              <w:t>福建省新卫招标代理有限公司</w:t>
            </w:r>
            <w:r>
              <w:rPr>
                <w:rFonts w:cs="宋体;SimSun" w:asciiTheme="majorEastAsia" w:hAnsiTheme="majorEastAsia" w:eastAsiaTheme="majorEastAsia"/>
                <w:sz w:val="24"/>
                <w:highlight w:val="none"/>
              </w:rPr>
              <w:t>【</w:t>
            </w:r>
            <w:r>
              <w:rPr>
                <w:rFonts w:hint="eastAsia" w:cs="宋体;SimSun" w:asciiTheme="majorEastAsia" w:hAnsiTheme="majorEastAsia" w:eastAsiaTheme="majorEastAsia"/>
                <w:sz w:val="24"/>
                <w:highlight w:val="none"/>
                <w:u w:val="single"/>
              </w:rPr>
              <w:t>福建省福州市西二环中路301号东南医药大楼六层开标厅</w:t>
            </w:r>
            <w:r>
              <w:rPr>
                <w:rFonts w:cs="宋体;SimSun" w:asciiTheme="majorEastAsia" w:hAnsiTheme="majorEastAsia" w:eastAsiaTheme="majorEastAsia"/>
                <w:sz w:val="24"/>
                <w:highlight w:val="none"/>
              </w:rPr>
              <w:t>】</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2</w:t>
            </w:r>
            <w:r>
              <w:rPr>
                <w:rFonts w:hint="eastAsia" w:cs="宋体;SimSun" w:asciiTheme="majorEastAsia" w:hAnsiTheme="majorEastAsia" w:eastAsiaTheme="majorEastAsia"/>
                <w:sz w:val="24"/>
              </w:rPr>
              <w:t>3.1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rPr>
            </w:pPr>
            <w:r>
              <w:rPr>
                <w:rFonts w:cs="宋体;SimSun" w:asciiTheme="majorEastAsia" w:hAnsiTheme="majorEastAsia" w:eastAsiaTheme="majorEastAsia"/>
                <w:sz w:val="24"/>
              </w:rPr>
              <w:t>评标办法：</w:t>
            </w:r>
            <w:r>
              <w:rPr>
                <w:rFonts w:hint="eastAsia" w:cs="宋体;SimSun" w:asciiTheme="majorEastAsia" w:hAnsiTheme="majorEastAsia" w:eastAsiaTheme="majorEastAsia"/>
                <w:sz w:val="24"/>
              </w:rPr>
              <w:t>本项目采用最低评标价法。</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2</w:t>
            </w:r>
            <w:r>
              <w:rPr>
                <w:rFonts w:hint="eastAsia" w:cs="宋体;SimSun" w:asciiTheme="majorEastAsia" w:hAnsiTheme="majorEastAsia" w:eastAsiaTheme="majorEastAsia"/>
                <w:sz w:val="24"/>
              </w:rPr>
              <w:t>4</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b/>
              </w:rPr>
            </w:pPr>
            <w:r>
              <w:rPr>
                <w:rFonts w:hint="eastAsia" w:cs="宋体;SimSun" w:asciiTheme="majorEastAsia" w:hAnsiTheme="majorEastAsia" w:eastAsiaTheme="majorEastAsia"/>
                <w:b/>
                <w:sz w:val="24"/>
              </w:rPr>
              <w:t>在商务评议过程中，有下列情形之一者，其投标将被否决：</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1）投标人或其制造商与招标人有利害关系可能影响招标公正性的；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2）投标人参与项目前期咨询或招标文件编制的；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3）不同投标人单位负责人为同一人或者存在控股、管理关系的；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4）投标文件未按招标文件的要求签署的；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5）投标人的投标书、资格证明材料未提供，或不符合国家规定或者招标文件要求的；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6）同一投标人提交两个以上不同的投标方案或者投标报价的，但招标文件要求提交备选方案的除外；</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7）投标人未按招标文件要求提交投标保证金或保证金金额不足、保函有效期不足、投标保证金形式或出具投标保函的银行不符合招标文件要求的；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8）投标文件不满足招标文件加注星号（</w:t>
            </w:r>
            <w:r>
              <w:rPr>
                <w:rFonts w:hint="cs" w:cs="宋体;SimSun" w:asciiTheme="majorEastAsia" w:hAnsiTheme="majorEastAsia" w:eastAsiaTheme="majorEastAsia"/>
                <w:sz w:val="24"/>
              </w:rPr>
              <w:t>“</w:t>
            </w:r>
            <w:r>
              <w:rPr>
                <w:rFonts w:hint="eastAsia" w:ascii="宋体" w:hAnsi="宋体"/>
                <w:b/>
                <w:sz w:val="24"/>
              </w:rPr>
              <w:t>*</w:t>
            </w:r>
            <w:r>
              <w:rPr>
                <w:rFonts w:cs="宋体;SimSun" w:asciiTheme="majorEastAsia" w:hAnsiTheme="majorEastAsia" w:eastAsiaTheme="majorEastAsia"/>
                <w:sz w:val="24"/>
              </w:rPr>
              <w:t>”</w:t>
            </w:r>
            <w:r>
              <w:rPr>
                <w:rFonts w:hint="eastAsia" w:cs="宋体;SimSun" w:asciiTheme="majorEastAsia" w:hAnsiTheme="majorEastAsia" w:eastAsiaTheme="majorEastAsia"/>
                <w:sz w:val="24"/>
              </w:rPr>
              <w:t>）的重要商务条款要求的；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9）投标报价高于招标文件设定的最高投标限价的；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10）投标有效期不足的；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11）投标人有串通投标、弄虚作假、行贿等违法行为的；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12）存在招标文件中规定的否决投标的其他商务条款的。</w:t>
            </w:r>
          </w:p>
          <w:p>
            <w:pPr>
              <w:snapToGrid w:val="0"/>
              <w:spacing w:line="420" w:lineRule="exact"/>
              <w:rPr>
                <w:rFonts w:cs="宋体;SimSun" w:asciiTheme="majorEastAsia" w:hAnsiTheme="majorEastAsia" w:eastAsiaTheme="majorEastAsia"/>
                <w:b/>
              </w:rPr>
            </w:pPr>
            <w:r>
              <w:rPr>
                <w:rFonts w:hint="eastAsia" w:cs="宋体;SimSun" w:asciiTheme="majorEastAsia" w:hAnsiTheme="majorEastAsia" w:eastAsiaTheme="majorEastAsia"/>
                <w:b/>
                <w:sz w:val="24"/>
              </w:rPr>
              <w:t>技术评议过程中，有下列情形之一者，其投标将被否决：</w:t>
            </w:r>
          </w:p>
          <w:p>
            <w:pPr>
              <w:snapToGrid w:val="0"/>
              <w:spacing w:line="420" w:lineRule="exact"/>
              <w:ind w:firstLine="352" w:firstLineChars="147"/>
              <w:rPr>
                <w:rFonts w:cs="宋体;SimSun" w:asciiTheme="majorEastAsia" w:hAnsiTheme="majorEastAsia" w:eastAsiaTheme="majorEastAsia"/>
              </w:rPr>
            </w:pPr>
            <w:r>
              <w:rPr>
                <w:rFonts w:cs="宋体;SimSun" w:asciiTheme="majorEastAsia" w:hAnsiTheme="majorEastAsia" w:eastAsiaTheme="majorEastAsia"/>
                <w:sz w:val="24"/>
                <w:szCs w:val="21"/>
              </w:rPr>
              <w:t>1）</w:t>
            </w:r>
            <w:r>
              <w:rPr>
                <w:rFonts w:hint="eastAsia" w:cs="宋体;SimSun" w:asciiTheme="majorEastAsia" w:hAnsiTheme="majorEastAsia" w:eastAsiaTheme="majorEastAsia"/>
                <w:sz w:val="24"/>
              </w:rPr>
              <w:t>投标文件不满足招标文件技术规格中加注星号（</w:t>
            </w:r>
            <w:r>
              <w:rPr>
                <w:rFonts w:hint="cs" w:cs="宋体;SimSun" w:asciiTheme="majorEastAsia" w:hAnsiTheme="majorEastAsia" w:eastAsiaTheme="majorEastAsia"/>
                <w:sz w:val="24"/>
              </w:rPr>
              <w:t>“</w:t>
            </w:r>
            <w:r>
              <w:rPr>
                <w:rFonts w:hint="eastAsia" w:ascii="宋体" w:hAnsi="宋体"/>
                <w:b/>
                <w:sz w:val="24"/>
              </w:rPr>
              <w:t>*</w:t>
            </w:r>
            <w:r>
              <w:rPr>
                <w:rFonts w:cs="宋体;SimSun" w:asciiTheme="majorEastAsia" w:hAnsiTheme="majorEastAsia" w:eastAsiaTheme="majorEastAsia"/>
                <w:sz w:val="24"/>
              </w:rPr>
              <w:t>”</w:t>
            </w:r>
            <w:r>
              <w:rPr>
                <w:rFonts w:hint="eastAsia" w:cs="宋体;SimSun" w:asciiTheme="majorEastAsia" w:hAnsiTheme="majorEastAsia" w:eastAsiaTheme="majorEastAsia"/>
                <w:sz w:val="24"/>
              </w:rPr>
              <w:t>）的重要条款（参数）要求，或加注星号（</w:t>
            </w:r>
            <w:r>
              <w:rPr>
                <w:rFonts w:hint="cs" w:cs="宋体;SimSun" w:asciiTheme="majorEastAsia" w:hAnsiTheme="majorEastAsia" w:eastAsiaTheme="majorEastAsia"/>
                <w:sz w:val="24"/>
              </w:rPr>
              <w:t>“</w:t>
            </w:r>
            <w:r>
              <w:rPr>
                <w:rFonts w:hint="eastAsia" w:ascii="宋体" w:hAnsi="宋体"/>
                <w:b/>
                <w:sz w:val="24"/>
              </w:rPr>
              <w:t>*</w:t>
            </w:r>
            <w:r>
              <w:rPr>
                <w:rFonts w:cs="宋体;SimSun" w:asciiTheme="majorEastAsia" w:hAnsiTheme="majorEastAsia" w:eastAsiaTheme="majorEastAsia"/>
                <w:sz w:val="24"/>
              </w:rPr>
              <w:t>”</w:t>
            </w:r>
            <w:r>
              <w:rPr>
                <w:rFonts w:hint="eastAsia" w:cs="宋体;SimSun" w:asciiTheme="majorEastAsia" w:hAnsiTheme="majorEastAsia" w:eastAsiaTheme="majorEastAsia"/>
                <w:sz w:val="24"/>
              </w:rPr>
              <w:t>）的重要条款（参数）无符合招标文件要求的技术资料支持的；</w:t>
            </w:r>
          </w:p>
          <w:p>
            <w:pPr>
              <w:snapToGrid w:val="0"/>
              <w:spacing w:line="420" w:lineRule="exact"/>
              <w:ind w:firstLine="352" w:firstLineChars="147"/>
              <w:rPr>
                <w:rFonts w:cs="宋体;SimSun" w:asciiTheme="majorEastAsia" w:hAnsiTheme="majorEastAsia" w:eastAsiaTheme="majorEastAsia"/>
              </w:rPr>
            </w:pPr>
            <w:r>
              <w:rPr>
                <w:rFonts w:cs="宋体;SimSun" w:asciiTheme="majorEastAsia" w:hAnsiTheme="majorEastAsia" w:eastAsiaTheme="majorEastAsia"/>
                <w:sz w:val="24"/>
              </w:rPr>
              <w:t>2）</w:t>
            </w:r>
            <w:r>
              <w:rPr>
                <w:rFonts w:hint="eastAsia" w:cs="宋体;SimSun" w:asciiTheme="majorEastAsia" w:hAnsiTheme="majorEastAsia" w:eastAsiaTheme="majorEastAsia"/>
                <w:sz w:val="24"/>
              </w:rPr>
              <w:t>投标文件技术规格中的响应与事实不符或虚假投标的；</w:t>
            </w:r>
          </w:p>
          <w:p>
            <w:pPr>
              <w:snapToGrid w:val="0"/>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rPr>
              <w:t>3</w:t>
            </w:r>
            <w:r>
              <w:rPr>
                <w:rFonts w:cs="宋体;SimSun" w:asciiTheme="majorEastAsia" w:hAnsiTheme="majorEastAsia" w:eastAsiaTheme="majorEastAsia"/>
                <w:sz w:val="24"/>
              </w:rPr>
              <w:t>）</w:t>
            </w:r>
            <w:r>
              <w:rPr>
                <w:rFonts w:hint="eastAsia" w:cs="宋体;SimSun" w:asciiTheme="majorEastAsia" w:hAnsiTheme="majorEastAsia" w:eastAsiaTheme="majorEastAsia"/>
                <w:sz w:val="24"/>
              </w:rPr>
              <w:t>存在招标文件中规定的否决投标的其他技术条款的。</w:t>
            </w:r>
          </w:p>
          <w:p>
            <w:pPr>
              <w:spacing w:line="420" w:lineRule="exact"/>
              <w:ind w:firstLine="352" w:firstLineChars="147"/>
              <w:rPr>
                <w:rFonts w:cs="宋体;SimSun" w:asciiTheme="majorEastAsia" w:hAnsiTheme="majorEastAsia" w:eastAsiaTheme="majorEastAsia"/>
              </w:rPr>
            </w:pPr>
            <w:r>
              <w:rPr>
                <w:rFonts w:hint="eastAsia" w:cs="宋体;SimSun" w:asciiTheme="majorEastAsia" w:hAnsiTheme="majorEastAsia" w:eastAsiaTheme="majorEastAsia"/>
                <w:sz w:val="24"/>
                <w:szCs w:val="21"/>
              </w:rPr>
              <w:t>注：评标委员会决定投标的响应性只根据投标本身的真实无误的内容，而不依据外部的证据，但投标有不真实不正确的内容时除外。</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宋体" w:hAnsi="宋体"/>
                <w:sz w:val="24"/>
              </w:rPr>
            </w:pPr>
            <w:r>
              <w:rPr>
                <w:rFonts w:hint="eastAsia" w:ascii="宋体" w:hAnsi="宋体"/>
                <w:sz w:val="24"/>
              </w:rPr>
              <w:t>25.1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ind w:firstLine="151" w:firstLineChars="63"/>
              <w:rPr>
                <w:rFonts w:ascii="宋体" w:hAnsi="宋体"/>
                <w:sz w:val="24"/>
              </w:rPr>
            </w:pPr>
            <w:r>
              <w:rPr>
                <w:rFonts w:hint="eastAsia" w:ascii="宋体" w:hAnsi="宋体"/>
                <w:sz w:val="24"/>
              </w:rPr>
              <w:t>评标时，投标货币统一转换为：美元。</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26.3</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评标价量化因素：投标人须知第</w:t>
            </w:r>
            <w:r>
              <w:rPr>
                <w:rFonts w:hint="eastAsia" w:asciiTheme="majorEastAsia" w:hAnsiTheme="majorEastAsia" w:eastAsiaTheme="majorEastAsia"/>
                <w:sz w:val="24"/>
                <w:u w:val="single"/>
              </w:rPr>
              <w:t>26.3 1). 2). 3). 4). 5).7). 8).</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内陆运输、保险及其伴随服务</w:t>
            </w:r>
          </w:p>
          <w:p>
            <w:pPr>
              <w:spacing w:line="420" w:lineRule="exact"/>
              <w:ind w:firstLine="480" w:firstLineChars="200"/>
              <w:jc w:val="left"/>
              <w:rPr>
                <w:rFonts w:asciiTheme="majorEastAsia" w:hAnsiTheme="majorEastAsia" w:eastAsiaTheme="majorEastAsia"/>
                <w:i/>
              </w:rPr>
            </w:pPr>
            <w:r>
              <w:rPr>
                <w:rFonts w:hint="eastAsia" w:asciiTheme="majorEastAsia" w:hAnsiTheme="majorEastAsia" w:eastAsiaTheme="majorEastAsia"/>
                <w:sz w:val="24"/>
              </w:rPr>
              <w:t>投标人应提供：</w:t>
            </w:r>
            <w:r>
              <w:rPr>
                <w:rFonts w:hint="eastAsia" w:asciiTheme="majorEastAsia" w:hAnsiTheme="majorEastAsia" w:eastAsiaTheme="majorEastAsia"/>
                <w:sz w:val="24"/>
                <w:u w:val="single"/>
              </w:rPr>
              <w:t>货物包装数量以及每件包装箱的尺寸和运输重量。</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26.4.2</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交货期的偏离</w:t>
            </w:r>
          </w:p>
          <w:p>
            <w:pPr>
              <w:spacing w:line="420" w:lineRule="exact"/>
              <w:ind w:firstLine="480" w:firstLineChars="200"/>
              <w:jc w:val="left"/>
              <w:rPr>
                <w:rFonts w:asciiTheme="majorEastAsia" w:hAnsiTheme="majorEastAsia" w:eastAsiaTheme="majorEastAsia"/>
                <w:u w:val="single"/>
              </w:rPr>
            </w:pPr>
            <w:r>
              <w:rPr>
                <w:rFonts w:hint="eastAsia" w:asciiTheme="majorEastAsia" w:hAnsiTheme="majorEastAsia" w:eastAsiaTheme="majorEastAsia"/>
                <w:sz w:val="24"/>
              </w:rPr>
              <w:t>所选方案：</w:t>
            </w:r>
            <w:r>
              <w:rPr>
                <w:rFonts w:hint="eastAsia" w:asciiTheme="majorEastAsia" w:hAnsiTheme="majorEastAsia" w:eastAsiaTheme="majorEastAsia"/>
                <w:sz w:val="24"/>
                <w:u w:val="single"/>
              </w:rPr>
              <w:t>26.4.2 1)交货期：合同生效后</w:t>
            </w:r>
            <w:r>
              <w:rPr>
                <w:rFonts w:asciiTheme="majorEastAsia" w:hAnsiTheme="majorEastAsia" w:eastAsiaTheme="majorEastAsia"/>
                <w:sz w:val="24"/>
                <w:u w:val="single"/>
              </w:rPr>
              <w:t xml:space="preserve">60 </w:t>
            </w:r>
            <w:r>
              <w:rPr>
                <w:rFonts w:hint="eastAsia" w:asciiTheme="majorEastAsia" w:hAnsiTheme="majorEastAsia" w:eastAsiaTheme="majorEastAsia"/>
                <w:sz w:val="24"/>
                <w:u w:val="single"/>
              </w:rPr>
              <w:t>天内交货；</w:t>
            </w:r>
          </w:p>
          <w:p>
            <w:pPr>
              <w:spacing w:line="420" w:lineRule="exact"/>
              <w:ind w:firstLine="480" w:firstLineChars="200"/>
              <w:jc w:val="left"/>
              <w:rPr>
                <w:rFonts w:asciiTheme="majorEastAsia" w:hAnsiTheme="majorEastAsia" w:eastAsiaTheme="majorEastAsia"/>
              </w:rPr>
            </w:pPr>
            <w:r>
              <w:rPr>
                <w:rFonts w:hint="eastAsia" w:asciiTheme="majorEastAsia" w:hAnsiTheme="majorEastAsia" w:eastAsiaTheme="majorEastAsia"/>
                <w:sz w:val="24"/>
              </w:rPr>
              <w:t>调整用的百分比（%）：</w:t>
            </w:r>
          </w:p>
          <w:p>
            <w:pPr>
              <w:spacing w:line="420" w:lineRule="exact"/>
              <w:ind w:firstLine="480" w:firstLineChars="200"/>
              <w:jc w:val="left"/>
              <w:rPr>
                <w:rFonts w:asciiTheme="majorEastAsia" w:hAnsiTheme="majorEastAsia" w:eastAsiaTheme="majorEastAsia"/>
                <w:u w:val="single"/>
              </w:rPr>
            </w:pPr>
            <w:r>
              <w:rPr>
                <w:rFonts w:hint="eastAsia" w:asciiTheme="majorEastAsia" w:hAnsiTheme="majorEastAsia" w:eastAsiaTheme="majorEastAsia"/>
                <w:sz w:val="24"/>
              </w:rPr>
              <w:t>（1）</w:t>
            </w:r>
            <w:r>
              <w:rPr>
                <w:rFonts w:hint="eastAsia" w:asciiTheme="majorEastAsia" w:hAnsiTheme="majorEastAsia" w:eastAsiaTheme="majorEastAsia"/>
                <w:sz w:val="24"/>
                <w:u w:val="single"/>
              </w:rPr>
              <w:t>每超过一周，评标价增加投标总价的 1 %；</w:t>
            </w:r>
          </w:p>
          <w:p>
            <w:pPr>
              <w:spacing w:line="420" w:lineRule="exact"/>
              <w:ind w:firstLine="482" w:firstLineChars="200"/>
              <w:jc w:val="left"/>
              <w:rPr>
                <w:rFonts w:asciiTheme="majorEastAsia" w:hAnsiTheme="majorEastAsia" w:eastAsiaTheme="majorEastAsia"/>
                <w:u w:val="single"/>
              </w:rPr>
            </w:pPr>
            <w:r>
              <w:rPr>
                <w:rFonts w:hint="eastAsia" w:ascii="宋体" w:hAnsi="宋体"/>
                <w:b/>
                <w:sz w:val="24"/>
              </w:rPr>
              <w:t>*</w:t>
            </w:r>
            <w:r>
              <w:rPr>
                <w:rFonts w:hint="eastAsia" w:asciiTheme="majorEastAsia" w:hAnsiTheme="majorEastAsia" w:eastAsiaTheme="majorEastAsia"/>
                <w:sz w:val="24"/>
              </w:rPr>
              <w:t>（2）</w:t>
            </w:r>
            <w:r>
              <w:rPr>
                <w:rFonts w:hint="eastAsia" w:asciiTheme="majorEastAsia" w:hAnsiTheme="majorEastAsia" w:eastAsiaTheme="majorEastAsia"/>
                <w:sz w:val="24"/>
                <w:u w:val="single"/>
              </w:rPr>
              <w:t>最高不能超过2周，超过2周则为废标。</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宋体" w:hAnsi="宋体"/>
                <w:b/>
                <w:sz w:val="24"/>
              </w:rPr>
              <w:t xml:space="preserve">* </w:t>
            </w:r>
            <w:r>
              <w:rPr>
                <w:rFonts w:hint="eastAsia" w:asciiTheme="majorEastAsia" w:hAnsiTheme="majorEastAsia" w:eastAsiaTheme="majorEastAsia"/>
                <w:sz w:val="24"/>
              </w:rPr>
              <w:t>26.4.3</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 xml:space="preserve">付款条件的偏差  </w:t>
            </w:r>
          </w:p>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所选方案：</w:t>
            </w:r>
            <w:r>
              <w:rPr>
                <w:rFonts w:hint="eastAsia" w:asciiTheme="majorEastAsia" w:hAnsiTheme="majorEastAsia" w:eastAsiaTheme="majorEastAsia"/>
                <w:sz w:val="24"/>
                <w:u w:val="single"/>
              </w:rPr>
              <w:t>26.4.3 1)</w:t>
            </w:r>
            <w:r>
              <w:rPr>
                <w:rFonts w:hint="eastAsia" w:asciiTheme="majorEastAsia" w:hAnsiTheme="majorEastAsia" w:eastAsiaTheme="majorEastAsia"/>
                <w:sz w:val="24"/>
              </w:rPr>
              <w:t>对招标文件提出的付款条件的任何负偏离将导致废标。</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26.4.4</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零部件和备品备件的费用</w:t>
            </w:r>
          </w:p>
          <w:p>
            <w:pPr>
              <w:spacing w:line="420" w:lineRule="exact"/>
              <w:jc w:val="left"/>
              <w:rPr>
                <w:rFonts w:asciiTheme="majorEastAsia" w:hAnsiTheme="majorEastAsia" w:eastAsiaTheme="majorEastAsia"/>
                <w:u w:val="single"/>
              </w:rPr>
            </w:pPr>
            <w:r>
              <w:rPr>
                <w:rFonts w:hint="eastAsia" w:asciiTheme="majorEastAsia" w:hAnsiTheme="majorEastAsia" w:eastAsiaTheme="majorEastAsia"/>
                <w:sz w:val="24"/>
              </w:rPr>
              <w:t>所选方案：</w:t>
            </w:r>
            <w:r>
              <w:rPr>
                <w:rFonts w:hint="eastAsia" w:asciiTheme="majorEastAsia" w:hAnsiTheme="majorEastAsia" w:eastAsiaTheme="majorEastAsia"/>
                <w:sz w:val="24"/>
                <w:u w:val="single"/>
              </w:rPr>
              <w:t>26.4.4 1)</w:t>
            </w:r>
          </w:p>
          <w:p>
            <w:pPr>
              <w:spacing w:line="420" w:lineRule="exact"/>
              <w:ind w:firstLine="480" w:firstLineChars="200"/>
              <w:jc w:val="left"/>
              <w:rPr>
                <w:rFonts w:asciiTheme="majorEastAsia" w:hAnsiTheme="majorEastAsia" w:eastAsiaTheme="majorEastAsia"/>
              </w:rPr>
            </w:pPr>
            <w:r>
              <w:rPr>
                <w:rFonts w:hint="eastAsia" w:asciiTheme="majorEastAsia" w:hAnsiTheme="majorEastAsia" w:eastAsiaTheme="majorEastAsia"/>
                <w:sz w:val="24"/>
              </w:rPr>
              <w:t>随机备件和设备正常运行</w:t>
            </w:r>
            <w:r>
              <w:rPr>
                <w:rFonts w:hint="eastAsia" w:asciiTheme="majorEastAsia" w:hAnsiTheme="majorEastAsia" w:eastAsiaTheme="majorEastAsia"/>
                <w:sz w:val="24"/>
                <w:u w:val="single"/>
              </w:rPr>
              <w:t xml:space="preserve"> 2 </w:t>
            </w:r>
            <w:r>
              <w:rPr>
                <w:rFonts w:hint="eastAsia" w:asciiTheme="majorEastAsia" w:hAnsiTheme="majorEastAsia" w:eastAsiaTheme="majorEastAsia"/>
                <w:sz w:val="24"/>
              </w:rPr>
              <w:t>年内所需的备件和专用工具，其价格包括在投标报价中。</w:t>
            </w:r>
          </w:p>
          <w:p>
            <w:pPr>
              <w:spacing w:line="420" w:lineRule="exact"/>
              <w:ind w:firstLine="480" w:firstLineChars="200"/>
              <w:jc w:val="left"/>
              <w:rPr>
                <w:rFonts w:asciiTheme="majorEastAsia" w:hAnsiTheme="majorEastAsia" w:eastAsiaTheme="majorEastAsia"/>
              </w:rPr>
            </w:pPr>
            <w:r>
              <w:rPr>
                <w:rFonts w:hint="eastAsia" w:asciiTheme="majorEastAsia" w:hAnsiTheme="majorEastAsia" w:eastAsiaTheme="majorEastAsia"/>
                <w:sz w:val="24"/>
              </w:rPr>
              <w:t>投标人还可以根据自己的经验向招标人提供推荐的备品备件清单（包括：货源、数量、单价，推荐备品备件的价格不计入评标价格），招标人有权根据自己的需要选择备件和数量。</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26.4.5</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rPr>
            </w:pPr>
            <w:r>
              <w:rPr>
                <w:rFonts w:hint="eastAsia" w:asciiTheme="majorEastAsia" w:hAnsiTheme="majorEastAsia" w:eastAsiaTheme="majorEastAsia"/>
                <w:sz w:val="24"/>
              </w:rPr>
              <w:t>买方中国境内的备件供应和售后服务设施所需费用：买方在中华人民共和国境内得到投标货物的备件供应和售后服务设施的可能性，若没有，则评标价格在投标总价的基础上增加1%。</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26.4.6</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决定运行和维护费用</w:t>
            </w:r>
          </w:p>
          <w:p>
            <w:pPr>
              <w:spacing w:line="420" w:lineRule="exact"/>
              <w:jc w:val="left"/>
              <w:rPr>
                <w:rFonts w:asciiTheme="majorEastAsia" w:hAnsiTheme="majorEastAsia" w:eastAsiaTheme="majorEastAsia"/>
              </w:rPr>
            </w:pPr>
            <w:r>
              <w:rPr>
                <w:rFonts w:hint="eastAsia" w:asciiTheme="majorEastAsia" w:hAnsiTheme="majorEastAsia" w:eastAsiaTheme="majorEastAsia"/>
                <w:sz w:val="24"/>
              </w:rPr>
              <w:t>所选方案：不适用</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26.4.7</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adjustRightInd w:val="0"/>
              <w:snapToGrid w:val="0"/>
              <w:spacing w:line="420" w:lineRule="exact"/>
              <w:rPr>
                <w:rFonts w:asciiTheme="majorEastAsia" w:hAnsiTheme="majorEastAsia" w:eastAsiaTheme="majorEastAsia"/>
              </w:rPr>
            </w:pPr>
            <w:r>
              <w:rPr>
                <w:rFonts w:hint="eastAsia" w:asciiTheme="majorEastAsia" w:hAnsiTheme="majorEastAsia" w:eastAsiaTheme="majorEastAsia"/>
                <w:sz w:val="24"/>
              </w:rPr>
              <w:t>设备性能和生产率：所选方案：26.4.7 2）</w:t>
            </w:r>
          </w:p>
          <w:p>
            <w:pPr>
              <w:adjustRightInd w:val="0"/>
              <w:snapToGrid w:val="0"/>
              <w:spacing w:line="420" w:lineRule="exact"/>
              <w:rPr>
                <w:rFonts w:asciiTheme="majorEastAsia" w:hAnsiTheme="majorEastAsia" w:eastAsiaTheme="majorEastAsia"/>
              </w:rPr>
            </w:pPr>
            <w:r>
              <w:rPr>
                <w:rFonts w:hint="eastAsia" w:asciiTheme="majorEastAsia" w:hAnsiTheme="majorEastAsia" w:eastAsiaTheme="majorEastAsia"/>
                <w:sz w:val="24"/>
              </w:rPr>
              <w:t>调整方案：</w:t>
            </w:r>
          </w:p>
          <w:p>
            <w:pPr>
              <w:adjustRightInd w:val="0"/>
              <w:snapToGrid w:val="0"/>
              <w:spacing w:line="420" w:lineRule="exact"/>
              <w:rPr>
                <w:rFonts w:asciiTheme="majorEastAsia" w:hAnsiTheme="majorEastAsia" w:eastAsiaTheme="majorEastAsia"/>
              </w:rPr>
            </w:pPr>
            <w:r>
              <w:rPr>
                <w:rFonts w:hint="eastAsia" w:asciiTheme="majorEastAsia" w:hAnsiTheme="majorEastAsia" w:eastAsiaTheme="majorEastAsia"/>
                <w:sz w:val="24"/>
              </w:rPr>
              <w:t>投标人应对招标文件第八</w:t>
            </w:r>
            <w:r>
              <w:rPr>
                <w:rFonts w:hint="eastAsia" w:asciiTheme="majorEastAsia" w:hAnsiTheme="majorEastAsia" w:eastAsiaTheme="majorEastAsia"/>
                <w:sz w:val="24"/>
                <w:highlight w:val="none"/>
              </w:rPr>
              <w:t>章“</w:t>
            </w:r>
            <w:r>
              <w:rPr>
                <w:rFonts w:hint="eastAsia" w:asciiTheme="majorEastAsia" w:hAnsiTheme="majorEastAsia" w:eastAsiaTheme="majorEastAsia"/>
                <w:b/>
                <w:sz w:val="24"/>
                <w:highlight w:val="none"/>
              </w:rPr>
              <w:t>二-五</w:t>
            </w:r>
            <w:r>
              <w:rPr>
                <w:rFonts w:hint="eastAsia" w:asciiTheme="majorEastAsia" w:hAnsiTheme="majorEastAsia" w:eastAsiaTheme="majorEastAsia"/>
                <w:sz w:val="24"/>
              </w:rPr>
              <w:t>”项中各条（款）的要求逐条（款）响应。</w:t>
            </w:r>
          </w:p>
          <w:p>
            <w:pPr>
              <w:spacing w:line="420" w:lineRule="exact"/>
              <w:ind w:left="40" w:leftChars="19" w:firstLine="436" w:firstLineChars="181"/>
              <w:rPr>
                <w:rFonts w:asciiTheme="majorEastAsia" w:hAnsiTheme="majorEastAsia" w:eastAsiaTheme="majorEastAsia"/>
                <w:highlight w:val="yellow"/>
              </w:rPr>
            </w:pPr>
            <w:r>
              <w:rPr>
                <w:rFonts w:hint="eastAsia" w:asciiTheme="majorEastAsia" w:hAnsiTheme="majorEastAsia" w:eastAsiaTheme="majorEastAsia"/>
                <w:b/>
                <w:sz w:val="24"/>
              </w:rPr>
              <w:t>1.</w:t>
            </w:r>
            <w:r>
              <w:rPr>
                <w:rFonts w:hint="eastAsia" w:asciiTheme="majorEastAsia" w:hAnsiTheme="majorEastAsia" w:eastAsiaTheme="majorEastAsia"/>
                <w:sz w:val="24"/>
                <w:szCs w:val="21"/>
              </w:rPr>
              <w:t>标注“</w:t>
            </w:r>
            <w:r>
              <w:rPr>
                <w:rFonts w:hint="eastAsia" w:ascii="宋体" w:hAnsi="宋体"/>
                <w:b/>
                <w:sz w:val="24"/>
              </w:rPr>
              <w:t>*</w:t>
            </w:r>
            <w:r>
              <w:rPr>
                <w:rFonts w:hint="eastAsia" w:asciiTheme="majorEastAsia" w:hAnsiTheme="majorEastAsia" w:eastAsiaTheme="majorEastAsia"/>
                <w:sz w:val="24"/>
                <w:szCs w:val="21"/>
              </w:rPr>
              <w:t>”号的为关键性条款，对这些关键性条款的负偏离将导致废标。</w:t>
            </w:r>
            <w:r>
              <w:rPr>
                <w:rFonts w:hint="eastAsia" w:asciiTheme="majorEastAsia" w:hAnsiTheme="majorEastAsia" w:eastAsiaTheme="majorEastAsia"/>
                <w:sz w:val="24"/>
              </w:rPr>
              <w:t>投标人应在投标文件中对标注“</w:t>
            </w:r>
            <w:r>
              <w:rPr>
                <w:rFonts w:hint="eastAsia" w:ascii="宋体" w:hAnsi="宋体"/>
                <w:b/>
                <w:sz w:val="24"/>
              </w:rPr>
              <w:t>*</w:t>
            </w:r>
            <w:r>
              <w:rPr>
                <w:rFonts w:hint="eastAsia" w:asciiTheme="majorEastAsia" w:hAnsiTheme="majorEastAsia" w:eastAsiaTheme="majorEastAsia"/>
                <w:sz w:val="24"/>
              </w:rPr>
              <w:t>”号的技术参数提供生产厂商公开发布的技术白皮书或检测报告等技术支持资料，未提供的评标时评标委员会有权不予认可</w:t>
            </w:r>
            <w:r>
              <w:rPr>
                <w:rFonts w:hint="eastAsia" w:ascii="宋体" w:hAnsi="宋体"/>
                <w:sz w:val="24"/>
                <w:highlight w:val="none"/>
              </w:rPr>
              <w:t>。</w:t>
            </w:r>
          </w:p>
          <w:p>
            <w:pPr>
              <w:spacing w:line="420" w:lineRule="exact"/>
              <w:ind w:firstLine="482" w:firstLineChars="200"/>
              <w:rPr>
                <w:rFonts w:asciiTheme="majorEastAsia" w:hAnsiTheme="majorEastAsia" w:eastAsiaTheme="majorEastAsia"/>
                <w:szCs w:val="21"/>
              </w:rPr>
            </w:pPr>
            <w:r>
              <w:rPr>
                <w:rFonts w:hint="eastAsia" w:asciiTheme="majorEastAsia" w:hAnsiTheme="majorEastAsia" w:eastAsiaTheme="majorEastAsia"/>
                <w:b/>
                <w:sz w:val="24"/>
              </w:rPr>
              <w:t>2</w:t>
            </w:r>
            <w:r>
              <w:rPr>
                <w:rFonts w:hint="eastAsia" w:asciiTheme="majorEastAsia" w:hAnsiTheme="majorEastAsia" w:eastAsiaTheme="majorEastAsia"/>
                <w:sz w:val="24"/>
              </w:rPr>
              <w:t>.</w:t>
            </w:r>
            <w:r>
              <w:rPr>
                <w:rFonts w:hint="eastAsia" w:asciiTheme="majorEastAsia" w:hAnsiTheme="majorEastAsia" w:eastAsiaTheme="majorEastAsia"/>
                <w:sz w:val="24"/>
                <w:szCs w:val="21"/>
              </w:rPr>
              <w:t>除“</w:t>
            </w:r>
            <w:r>
              <w:rPr>
                <w:rFonts w:hint="eastAsia" w:ascii="宋体" w:hAnsi="宋体"/>
                <w:b/>
                <w:sz w:val="24"/>
              </w:rPr>
              <w:t>*</w:t>
            </w:r>
            <w:r>
              <w:rPr>
                <w:rFonts w:hint="eastAsia" w:asciiTheme="majorEastAsia" w:hAnsiTheme="majorEastAsia" w:eastAsiaTheme="majorEastAsia"/>
                <w:sz w:val="24"/>
                <w:szCs w:val="21"/>
              </w:rPr>
              <w:t>”号外其它条款如达不到招标文件所要求的,每项按该设备投标价1%的比率增加计入评标价。</w:t>
            </w:r>
          </w:p>
          <w:p>
            <w:pPr>
              <w:spacing w:line="420" w:lineRule="exact"/>
              <w:ind w:firstLine="482" w:firstLineChars="200"/>
              <w:rPr>
                <w:rFonts w:asciiTheme="majorEastAsia" w:hAnsiTheme="majorEastAsia" w:eastAsiaTheme="majorEastAsia"/>
              </w:rPr>
            </w:pPr>
            <w:r>
              <w:rPr>
                <w:rFonts w:hint="eastAsia" w:asciiTheme="majorEastAsia" w:hAnsiTheme="majorEastAsia" w:eastAsiaTheme="majorEastAsia"/>
                <w:b/>
                <w:bCs/>
                <w:sz w:val="24"/>
                <w:szCs w:val="21"/>
              </w:rPr>
              <w:t>3.</w:t>
            </w:r>
            <w:r>
              <w:rPr>
                <w:rFonts w:hint="eastAsia" w:asciiTheme="majorEastAsia" w:hAnsiTheme="majorEastAsia" w:eastAsiaTheme="majorEastAsia"/>
                <w:sz w:val="24"/>
                <w:szCs w:val="21"/>
              </w:rPr>
              <w:t>凡超出技术规格中所要求的参数(正偏离),不降低评标价。</w:t>
            </w:r>
            <w:r>
              <w:rPr>
                <w:rFonts w:hint="eastAsia" w:asciiTheme="majorEastAsia" w:hAnsiTheme="majorEastAsia" w:eastAsiaTheme="majorEastAsia"/>
                <w:sz w:val="24"/>
              </w:rPr>
              <w:t>招标文件中标注“</w:t>
            </w:r>
            <w:r>
              <w:rPr>
                <w:rFonts w:hint="eastAsia" w:ascii="宋体" w:hAnsi="宋体"/>
                <w:b/>
                <w:sz w:val="24"/>
              </w:rPr>
              <w:t>*</w:t>
            </w:r>
            <w:r>
              <w:rPr>
                <w:rFonts w:hint="eastAsia" w:asciiTheme="majorEastAsia" w:hAnsiTheme="majorEastAsia" w:eastAsiaTheme="majorEastAsia"/>
                <w:sz w:val="24"/>
              </w:rPr>
              <w:t>”号的为关键商务条款、技术参数，对这些关键商务条款、技术参数的任何偏离将导致废标。</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26.4.8</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b/>
                <w:bCs/>
              </w:rPr>
            </w:pPr>
            <w:r>
              <w:rPr>
                <w:rFonts w:hint="eastAsia" w:asciiTheme="majorEastAsia" w:hAnsiTheme="majorEastAsia" w:eastAsiaTheme="majorEastAsia"/>
                <w:sz w:val="24"/>
              </w:rPr>
              <w:t>其它额外的评标因素和标准：不适用。</w:t>
            </w:r>
          </w:p>
        </w:tc>
      </w:tr>
      <w:tr>
        <w:tblPrEx>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rPr>
            </w:pPr>
            <w:r>
              <w:rPr>
                <w:rFonts w:hint="eastAsia" w:asciiTheme="majorEastAsia" w:hAnsiTheme="majorEastAsia" w:eastAsiaTheme="majorEastAsia"/>
                <w:sz w:val="24"/>
              </w:rPr>
              <w:t>26.5</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rPr>
            </w:pPr>
            <w:r>
              <w:rPr>
                <w:rFonts w:hint="eastAsia" w:asciiTheme="majorEastAsia" w:hAnsiTheme="majorEastAsia" w:eastAsiaTheme="majorEastAsia"/>
                <w:sz w:val="24"/>
              </w:rPr>
              <w:t>中标候选人的推荐方法：本项目仅推荐评标价格最低者为中标候选人。</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b/>
                <w:sz w:val="24"/>
              </w:rPr>
              <w:t>授 予 合 同</w:t>
            </w:r>
          </w:p>
        </w:tc>
      </w:tr>
      <w:tr>
        <w:tblPrEx>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sz w:val="24"/>
              </w:rPr>
              <w:t>36</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rPr>
            </w:pPr>
            <w:r>
              <w:rPr>
                <w:rFonts w:cs="宋体;SimSun" w:asciiTheme="majorEastAsia" w:hAnsiTheme="majorEastAsia" w:eastAsiaTheme="majorEastAsia"/>
                <w:sz w:val="24"/>
              </w:rPr>
              <w:t>36.1招标（代理）服务费：招标代理机构按如下标准和规定向中标人收取招标（代理）服务费。</w:t>
            </w:r>
          </w:p>
          <w:p>
            <w:pPr>
              <w:pStyle w:val="4"/>
              <w:snapToGrid w:val="0"/>
              <w:spacing w:line="420" w:lineRule="exact"/>
              <w:ind w:firstLine="0"/>
              <w:outlineLvl w:val="0"/>
              <w:rPr>
                <w:rFonts w:cs="宋体;SimSun" w:asciiTheme="majorEastAsia" w:hAnsiTheme="majorEastAsia" w:eastAsiaTheme="majorEastAsia"/>
                <w:szCs w:val="24"/>
              </w:rPr>
            </w:pPr>
            <w:r>
              <w:rPr>
                <w:rFonts w:cs="宋体;SimSun" w:asciiTheme="majorEastAsia" w:hAnsiTheme="majorEastAsia" w:eastAsiaTheme="majorEastAsia"/>
                <w:sz w:val="24"/>
                <w:szCs w:val="24"/>
              </w:rPr>
              <w:t>(1)以</w:t>
            </w:r>
            <w:r>
              <w:rPr>
                <w:rFonts w:hint="eastAsia" w:cs="宋体;SimSun" w:asciiTheme="majorEastAsia" w:hAnsiTheme="majorEastAsia" w:eastAsiaTheme="majorEastAsia"/>
                <w:sz w:val="24"/>
                <w:szCs w:val="24"/>
              </w:rPr>
              <w:t>各合同包</w:t>
            </w:r>
            <w:r>
              <w:rPr>
                <w:rFonts w:cs="宋体;SimSun" w:asciiTheme="majorEastAsia" w:hAnsiTheme="majorEastAsia" w:eastAsiaTheme="majorEastAsia"/>
                <w:sz w:val="24"/>
                <w:szCs w:val="24"/>
              </w:rPr>
              <w:t>中标通知书中确定的中标总金额作为收费的计算基数。</w:t>
            </w:r>
          </w:p>
          <w:p>
            <w:pPr>
              <w:pStyle w:val="4"/>
              <w:snapToGrid w:val="0"/>
              <w:spacing w:line="420" w:lineRule="exact"/>
              <w:ind w:left="240" w:hanging="240"/>
              <w:outlineLvl w:val="0"/>
              <w:rPr>
                <w:rFonts w:asciiTheme="majorEastAsia" w:hAnsiTheme="majorEastAsia" w:eastAsiaTheme="majorEastAsia"/>
              </w:rPr>
            </w:pPr>
            <w:r>
              <w:rPr>
                <w:rFonts w:cs="宋体;SimSun" w:asciiTheme="majorEastAsia" w:hAnsiTheme="majorEastAsia" w:eastAsiaTheme="majorEastAsia"/>
                <w:sz w:val="24"/>
                <w:szCs w:val="24"/>
              </w:rPr>
              <w:t>(2)招标</w:t>
            </w:r>
            <w:r>
              <w:rPr>
                <w:rFonts w:hint="eastAsia" w:cs="宋体;SimSun" w:asciiTheme="majorEastAsia" w:hAnsiTheme="majorEastAsia" w:eastAsiaTheme="majorEastAsia"/>
                <w:sz w:val="24"/>
                <w:szCs w:val="24"/>
              </w:rPr>
              <w:t>（</w:t>
            </w:r>
            <w:r>
              <w:rPr>
                <w:rFonts w:cs="宋体;SimSun" w:asciiTheme="majorEastAsia" w:hAnsiTheme="majorEastAsia" w:eastAsiaTheme="majorEastAsia"/>
                <w:sz w:val="24"/>
                <w:szCs w:val="24"/>
              </w:rPr>
              <w:t>代理</w:t>
            </w:r>
            <w:r>
              <w:rPr>
                <w:rFonts w:hint="eastAsia" w:cs="宋体;SimSun" w:asciiTheme="majorEastAsia" w:hAnsiTheme="majorEastAsia" w:eastAsiaTheme="majorEastAsia"/>
                <w:sz w:val="24"/>
                <w:szCs w:val="24"/>
              </w:rPr>
              <w:t>）</w:t>
            </w:r>
            <w:r>
              <w:rPr>
                <w:rFonts w:cs="宋体;SimSun" w:asciiTheme="majorEastAsia" w:hAnsiTheme="majorEastAsia" w:eastAsiaTheme="majorEastAsia"/>
                <w:sz w:val="24"/>
                <w:szCs w:val="24"/>
              </w:rPr>
              <w:t>服务</w:t>
            </w:r>
            <w:r>
              <w:rPr>
                <w:rFonts w:hint="eastAsia" w:cs="宋体;SimSun" w:asciiTheme="majorEastAsia" w:hAnsiTheme="majorEastAsia" w:eastAsiaTheme="majorEastAsia"/>
                <w:sz w:val="24"/>
                <w:szCs w:val="24"/>
              </w:rPr>
              <w:t>费</w:t>
            </w:r>
            <w:r>
              <w:rPr>
                <w:rFonts w:cs="宋体;SimSun" w:asciiTheme="majorEastAsia" w:hAnsiTheme="majorEastAsia" w:eastAsiaTheme="majorEastAsia"/>
                <w:sz w:val="24"/>
                <w:szCs w:val="24"/>
              </w:rPr>
              <w:t>收费标准按</w:t>
            </w:r>
            <w:r>
              <w:rPr>
                <w:rFonts w:cs="宋体;SimSun" w:asciiTheme="majorEastAsia" w:hAnsiTheme="majorEastAsia" w:eastAsiaTheme="majorEastAsia"/>
                <w:b/>
                <w:sz w:val="24"/>
                <w:szCs w:val="24"/>
              </w:rPr>
              <w:t>附</w:t>
            </w:r>
            <w:r>
              <w:rPr>
                <w:rFonts w:hint="eastAsia" w:cs="宋体;SimSun" w:asciiTheme="majorEastAsia" w:hAnsiTheme="majorEastAsia" w:eastAsiaTheme="majorEastAsia"/>
                <w:b/>
                <w:sz w:val="24"/>
                <w:szCs w:val="24"/>
              </w:rPr>
              <w:t>页1</w:t>
            </w:r>
            <w:r>
              <w:rPr>
                <w:rFonts w:cs="宋体;SimSun" w:asciiTheme="majorEastAsia" w:hAnsiTheme="majorEastAsia" w:eastAsiaTheme="majorEastAsia"/>
                <w:b/>
                <w:sz w:val="24"/>
                <w:szCs w:val="24"/>
              </w:rPr>
              <w:t>《招标（代理）服务费承诺书》</w:t>
            </w:r>
            <w:r>
              <w:rPr>
                <w:rFonts w:cs="宋体;SimSun" w:asciiTheme="majorEastAsia" w:hAnsiTheme="majorEastAsia" w:eastAsiaTheme="majorEastAsia"/>
                <w:sz w:val="24"/>
                <w:szCs w:val="24"/>
              </w:rPr>
              <w:t>规定按差额定率累进法计算</w:t>
            </w:r>
            <w:r>
              <w:rPr>
                <w:rFonts w:hint="eastAsia" w:ascii="宋体" w:hAnsi="宋体"/>
                <w:sz w:val="24"/>
                <w:szCs w:val="24"/>
              </w:rPr>
              <w:t>下浮</w:t>
            </w:r>
            <w:r>
              <w:rPr>
                <w:rFonts w:hint="eastAsia" w:ascii="宋体" w:hAnsi="宋体"/>
                <w:sz w:val="24"/>
                <w:szCs w:val="24"/>
                <w:u w:val="single"/>
              </w:rPr>
              <w:t xml:space="preserve"> 50 </w:t>
            </w:r>
            <w:r>
              <w:rPr>
                <w:rFonts w:hint="eastAsia" w:ascii="宋体" w:hAnsi="宋体"/>
                <w:sz w:val="24"/>
                <w:szCs w:val="24"/>
              </w:rPr>
              <w:t>%</w:t>
            </w:r>
            <w:r>
              <w:rPr>
                <w:rFonts w:cs="宋体;SimSun" w:asciiTheme="majorEastAsia" w:hAnsiTheme="majorEastAsia" w:eastAsiaTheme="majorEastAsia"/>
                <w:sz w:val="24"/>
                <w:szCs w:val="24"/>
              </w:rPr>
              <w:t>。</w:t>
            </w:r>
          </w:p>
          <w:p>
            <w:pPr>
              <w:pStyle w:val="4"/>
              <w:snapToGrid w:val="0"/>
              <w:spacing w:line="420" w:lineRule="exact"/>
              <w:ind w:left="240" w:hanging="240"/>
              <w:outlineLvl w:val="0"/>
              <w:rPr>
                <w:rFonts w:cs="宋体;SimSun" w:asciiTheme="majorEastAsia" w:hAnsiTheme="majorEastAsia" w:eastAsiaTheme="majorEastAsia"/>
                <w:szCs w:val="24"/>
              </w:rPr>
            </w:pPr>
            <w:r>
              <w:rPr>
                <w:rFonts w:cs="宋体;SimSun" w:asciiTheme="majorEastAsia" w:hAnsiTheme="majorEastAsia" w:eastAsiaTheme="majorEastAsia"/>
                <w:sz w:val="24"/>
                <w:szCs w:val="24"/>
              </w:rPr>
              <w:t>(3)招标（代理）服务费币种与中标的币种相同。</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rPr>
            </w:pPr>
            <w:r>
              <w:rPr>
                <w:rFonts w:cs="宋体;SimSun" w:asciiTheme="majorEastAsia" w:hAnsiTheme="majorEastAsia" w:eastAsiaTheme="majorEastAsia"/>
                <w:b/>
                <w:sz w:val="24"/>
              </w:rPr>
              <w:t>适用于本投标人须知的额外增加的变动：</w:t>
            </w:r>
          </w:p>
        </w:tc>
      </w:tr>
      <w:tr>
        <w:tblPrEx>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12" w:space="0"/>
              <w:right w:val="single" w:color="000000" w:sz="12" w:space="0"/>
            </w:tcBorders>
            <w:shd w:val="clear" w:color="auto" w:fill="auto"/>
          </w:tcPr>
          <w:p>
            <w:pPr>
              <w:spacing w:line="420" w:lineRule="exact"/>
              <w:rPr>
                <w:rFonts w:cs="宋体;SimSun" w:asciiTheme="majorEastAsia" w:hAnsiTheme="majorEastAsia" w:eastAsiaTheme="majorEastAsia"/>
                <w:b/>
              </w:rPr>
            </w:pPr>
            <w:r>
              <w:rPr>
                <w:rFonts w:cs="宋体;SimSun" w:asciiTheme="majorEastAsia" w:hAnsiTheme="majorEastAsia" w:eastAsiaTheme="majorEastAsia"/>
                <w:sz w:val="24"/>
              </w:rPr>
              <w:t>① 境内投标商如是代理，必须是经过制造商正式授权；对于未经制造商授权，</w:t>
            </w:r>
            <w:r>
              <w:rPr>
                <w:rFonts w:cs="宋体;SimSun" w:asciiTheme="majorEastAsia" w:hAnsiTheme="majorEastAsia" w:eastAsiaTheme="majorEastAsia"/>
                <w:b/>
                <w:sz w:val="24"/>
              </w:rPr>
              <w:t xml:space="preserve">其投标将被拒绝。 </w:t>
            </w:r>
          </w:p>
          <w:p>
            <w:pPr>
              <w:spacing w:line="420" w:lineRule="exact"/>
              <w:rPr>
                <w:rFonts w:asciiTheme="majorEastAsia" w:hAnsiTheme="majorEastAsia" w:eastAsiaTheme="majorEastAsia"/>
              </w:rPr>
            </w:pPr>
            <w:r>
              <w:rPr>
                <w:rFonts w:cs="宋体;SimSun" w:asciiTheme="majorEastAsia" w:hAnsiTheme="majorEastAsia" w:eastAsiaTheme="majorEastAsia"/>
                <w:sz w:val="24"/>
              </w:rPr>
              <w:t>② 投标人在投标截止期前如未在</w:t>
            </w:r>
            <w:r>
              <w:fldChar w:fldCharType="begin"/>
            </w:r>
            <w:r>
              <w:instrText xml:space="preserve"> HYPERLINK "http://www.chinabidding/" \h </w:instrText>
            </w:r>
            <w:r>
              <w:fldChar w:fldCharType="separate"/>
            </w:r>
            <w:r>
              <w:rPr>
                <w:rStyle w:val="219"/>
                <w:rFonts w:cs="宋体;SimSun" w:asciiTheme="majorEastAsia" w:hAnsiTheme="majorEastAsia" w:eastAsiaTheme="majorEastAsia"/>
                <w:color w:val="auto"/>
                <w:sz w:val="24"/>
              </w:rPr>
              <w:t>www.chinabidding</w:t>
            </w:r>
            <w:r>
              <w:rPr>
                <w:rStyle w:val="219"/>
                <w:rFonts w:cs="宋体;SimSun" w:asciiTheme="majorEastAsia" w:hAnsiTheme="majorEastAsia" w:eastAsiaTheme="majorEastAsia"/>
                <w:color w:val="auto"/>
                <w:sz w:val="24"/>
              </w:rPr>
              <w:fldChar w:fldCharType="end"/>
            </w:r>
            <w:r>
              <w:rPr>
                <w:rFonts w:cs="宋体;SimSun" w:asciiTheme="majorEastAsia" w:hAnsiTheme="majorEastAsia" w:eastAsiaTheme="majorEastAsia"/>
                <w:sz w:val="24"/>
                <w:u w:val="single"/>
              </w:rPr>
              <w:t>.com</w:t>
            </w:r>
            <w:r>
              <w:rPr>
                <w:rFonts w:cs="宋体;SimSun" w:asciiTheme="majorEastAsia" w:hAnsiTheme="majorEastAsia" w:eastAsiaTheme="majorEastAsia"/>
                <w:sz w:val="24"/>
              </w:rPr>
              <w:t>网站上作为供应商网上注册，</w:t>
            </w:r>
            <w:r>
              <w:rPr>
                <w:rFonts w:cs="宋体;SimSun" w:asciiTheme="majorEastAsia" w:hAnsiTheme="majorEastAsia" w:eastAsiaTheme="majorEastAsia"/>
                <w:b/>
                <w:sz w:val="24"/>
              </w:rPr>
              <w:t>未完成注册不得参加投标</w:t>
            </w:r>
            <w:r>
              <w:rPr>
                <w:rFonts w:cs="宋体;SimSun" w:asciiTheme="majorEastAsia" w:hAnsiTheme="majorEastAsia" w:eastAsiaTheme="majorEastAsia"/>
                <w:sz w:val="24"/>
              </w:rPr>
              <w:t>。</w:t>
            </w:r>
          </w:p>
          <w:p>
            <w:pPr>
              <w:spacing w:line="420" w:lineRule="exact"/>
              <w:rPr>
                <w:rFonts w:asciiTheme="majorEastAsia" w:hAnsiTheme="majorEastAsia" w:eastAsiaTheme="majorEastAsia"/>
              </w:rPr>
            </w:pPr>
            <w:r>
              <w:rPr>
                <w:rFonts w:cs="宋体;SimSun" w:asciiTheme="majorEastAsia" w:hAnsiTheme="majorEastAsia" w:eastAsiaTheme="majorEastAsia"/>
                <w:sz w:val="24"/>
              </w:rPr>
              <w:t>③特别提示：投标人提供的投标分项报价表，如不</w:t>
            </w:r>
            <w:r>
              <w:rPr>
                <w:rFonts w:hint="eastAsia" w:cs="宋体;SimSun" w:asciiTheme="majorEastAsia" w:hAnsiTheme="majorEastAsia" w:eastAsiaTheme="majorEastAsia"/>
                <w:sz w:val="24"/>
              </w:rPr>
              <w:t>是</w:t>
            </w:r>
            <w:r>
              <w:rPr>
                <w:rFonts w:cs="宋体;SimSun" w:asciiTheme="majorEastAsia" w:hAnsiTheme="majorEastAsia" w:eastAsiaTheme="majorEastAsia"/>
                <w:sz w:val="24"/>
              </w:rPr>
              <w:t>提供详细分项报价，只用“已含在总价中”之类的模糊用语，</w:t>
            </w:r>
            <w:r>
              <w:rPr>
                <w:rFonts w:hint="eastAsia" w:cs="宋体;SimSun" w:asciiTheme="majorEastAsia" w:hAnsiTheme="majorEastAsia" w:eastAsiaTheme="majorEastAsia"/>
                <w:sz w:val="24"/>
              </w:rPr>
              <w:t>评标委员会将可能作出不利于投标人的判断或</w:t>
            </w:r>
            <w:r>
              <w:rPr>
                <w:rFonts w:hint="eastAsia" w:cs="宋体;SimSun" w:asciiTheme="majorEastAsia" w:hAnsiTheme="majorEastAsia" w:eastAsiaTheme="majorEastAsia"/>
                <w:b/>
                <w:sz w:val="24"/>
              </w:rPr>
              <w:t>有权将其视为未做实质性响应，投标文件将拒绝。</w:t>
            </w:r>
          </w:p>
          <w:p>
            <w:pPr>
              <w:spacing w:line="420" w:lineRule="exact"/>
              <w:rPr>
                <w:rFonts w:cs="宋体;SimSun" w:asciiTheme="majorEastAsia" w:hAnsiTheme="majorEastAsia" w:eastAsiaTheme="majorEastAsia"/>
                <w:b/>
                <w:sz w:val="24"/>
              </w:rPr>
            </w:pPr>
            <w:r>
              <w:rPr>
                <w:rFonts w:cs="宋体;SimSun" w:asciiTheme="majorEastAsia" w:hAnsiTheme="majorEastAsia" w:eastAsiaTheme="majorEastAsia"/>
                <w:sz w:val="24"/>
              </w:rPr>
              <w:t>④投标人在填写技术规格偏离表时应对招标文件技术要求逐项填写，且必须用具体数字或文字表述，不能仅填写“偏离”或“不偏离”，</w:t>
            </w:r>
            <w:r>
              <w:rPr>
                <w:rFonts w:cs="宋体;SimSun" w:asciiTheme="majorEastAsia" w:hAnsiTheme="majorEastAsia" w:eastAsiaTheme="majorEastAsia"/>
                <w:b/>
                <w:sz w:val="24"/>
              </w:rPr>
              <w:t>否则视为未做实质性响应，其投标文件将拒绝。</w:t>
            </w:r>
          </w:p>
        </w:tc>
      </w:tr>
    </w:tbl>
    <w:p>
      <w:pPr>
        <w:widowControl/>
        <w:jc w:val="center"/>
        <w:rPr>
          <w:rFonts w:cs="宋体;SimSun" w:asciiTheme="majorEastAsia" w:hAnsiTheme="majorEastAsia" w:eastAsiaTheme="majorEastAsia"/>
          <w:b/>
          <w:sz w:val="36"/>
        </w:rPr>
      </w:pPr>
      <w:r>
        <w:rPr>
          <w:rFonts w:cs="宋体;SimSun" w:asciiTheme="majorEastAsia" w:hAnsiTheme="majorEastAsia" w:eastAsiaTheme="majorEastAsia"/>
          <w:b/>
          <w:sz w:val="36"/>
        </w:rPr>
        <w:br w:type="page"/>
      </w:r>
      <w:r>
        <w:rPr>
          <w:rFonts w:cs="宋体;SimSun" w:asciiTheme="majorEastAsia" w:hAnsiTheme="majorEastAsia" w:eastAsiaTheme="majorEastAsia"/>
          <w:b/>
          <w:sz w:val="36"/>
        </w:rPr>
        <w:t>第七章     合同专用条款</w:t>
      </w:r>
    </w:p>
    <w:p>
      <w:pPr>
        <w:spacing w:line="280" w:lineRule="exact"/>
        <w:rPr>
          <w:rFonts w:cs="宋体;SimSun" w:asciiTheme="majorEastAsia" w:hAnsiTheme="majorEastAsia" w:eastAsiaTheme="majorEastAsia"/>
          <w:b/>
          <w:sz w:val="24"/>
        </w:rPr>
      </w:pPr>
    </w:p>
    <w:p>
      <w:pPr>
        <w:spacing w:line="280" w:lineRule="exact"/>
        <w:rPr>
          <w:rFonts w:asciiTheme="majorEastAsia" w:hAnsiTheme="majorEastAsia" w:eastAsiaTheme="majorEastAsia"/>
        </w:rPr>
      </w:pPr>
      <w:r>
        <w:rPr>
          <w:rFonts w:cs="宋体;SimSun" w:asciiTheme="majorEastAsia" w:hAnsiTheme="majorEastAsia" w:eastAsiaTheme="majorEastAsia"/>
          <w:sz w:val="24"/>
        </w:rPr>
        <w:t>本表关于要采购的货物的具体资料是对合同条款的具体补充和修改，如有矛盾，应以本资料表为准。</w:t>
      </w:r>
    </w:p>
    <w:p>
      <w:pPr>
        <w:spacing w:line="280" w:lineRule="exact"/>
        <w:rPr>
          <w:rFonts w:cs="宋体;SimSun" w:asciiTheme="majorEastAsia" w:hAnsiTheme="majorEastAsia" w:eastAsiaTheme="majorEastAsia"/>
          <w:sz w:val="24"/>
        </w:rPr>
      </w:pPr>
    </w:p>
    <w:tbl>
      <w:tblPr>
        <w:tblStyle w:val="30"/>
        <w:tblW w:w="9710" w:type="dxa"/>
        <w:tblInd w:w="-43" w:type="dxa"/>
        <w:tblLayout w:type="fixed"/>
        <w:tblCellMar>
          <w:top w:w="0" w:type="dxa"/>
          <w:left w:w="28" w:type="dxa"/>
          <w:bottom w:w="0" w:type="dxa"/>
          <w:right w:w="28" w:type="dxa"/>
        </w:tblCellMar>
      </w:tblPr>
      <w:tblGrid>
        <w:gridCol w:w="1288"/>
        <w:gridCol w:w="8422"/>
      </w:tblGrid>
      <w:tr>
        <w:tblPrEx>
          <w:tblCellMar>
            <w:top w:w="0" w:type="dxa"/>
            <w:left w:w="28" w:type="dxa"/>
            <w:bottom w:w="0" w:type="dxa"/>
            <w:right w:w="28" w:type="dxa"/>
          </w:tblCellMar>
        </w:tblPrEx>
        <w:trPr>
          <w:trHeight w:val="329" w:hRule="atLeast"/>
        </w:trPr>
        <w:tc>
          <w:tcPr>
            <w:tcW w:w="1288" w:type="dxa"/>
            <w:tcBorders>
              <w:top w:val="single" w:color="000000" w:sz="12"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条款号</w:t>
            </w:r>
          </w:p>
        </w:tc>
        <w:tc>
          <w:tcPr>
            <w:tcW w:w="8422" w:type="dxa"/>
            <w:tcBorders>
              <w:top w:val="single" w:color="000000" w:sz="12" w:space="0"/>
              <w:left w:val="single" w:color="000000" w:sz="6" w:space="0"/>
              <w:bottom w:val="single" w:color="000000" w:sz="6" w:space="0"/>
              <w:right w:val="single" w:color="000000" w:sz="12" w:space="0"/>
            </w:tcBorders>
            <w:shd w:val="clear" w:color="auto" w:fill="auto"/>
            <w:vAlign w:val="center"/>
          </w:tcPr>
          <w:p>
            <w:pPr>
              <w:spacing w:line="440" w:lineRule="exact"/>
              <w:jc w:val="center"/>
              <w:rPr>
                <w:rFonts w:cs="宋体;SimSun" w:asciiTheme="majorEastAsia" w:hAnsiTheme="majorEastAsia" w:eastAsiaTheme="majorEastAsia"/>
                <w:b/>
              </w:rPr>
            </w:pPr>
            <w:r>
              <w:rPr>
                <w:rFonts w:cs="宋体;SimSun" w:asciiTheme="majorEastAsia" w:hAnsiTheme="majorEastAsia" w:eastAsiaTheme="majorEastAsia"/>
                <w:b/>
                <w:sz w:val="24"/>
              </w:rPr>
              <w:t>内      容</w:t>
            </w:r>
          </w:p>
        </w:tc>
      </w:tr>
      <w:tr>
        <w:tblPrEx>
          <w:tblCellMar>
            <w:top w:w="0" w:type="dxa"/>
            <w:left w:w="28" w:type="dxa"/>
            <w:bottom w:w="0" w:type="dxa"/>
            <w:right w:w="28" w:type="dxa"/>
          </w:tblCellMar>
        </w:tblPrEx>
        <w:trPr>
          <w:trHeight w:val="757"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rPr>
            </w:pPr>
            <w:r>
              <w:rPr>
                <w:rFonts w:cs="宋体;SimSun" w:asciiTheme="majorEastAsia" w:hAnsiTheme="majorEastAsia" w:eastAsiaTheme="majorEastAsia"/>
                <w:sz w:val="24"/>
              </w:rPr>
              <w:t>买方名称：福建省卫生健康委员会</w:t>
            </w:r>
            <w:r>
              <w:rPr>
                <w:rFonts w:hint="eastAsia" w:cs="宋体;SimSun" w:asciiTheme="majorEastAsia" w:hAnsiTheme="majorEastAsia" w:eastAsiaTheme="majorEastAsia"/>
                <w:sz w:val="24"/>
              </w:rPr>
              <w:t>。</w:t>
            </w:r>
          </w:p>
          <w:p>
            <w:pPr>
              <w:snapToGrid w:val="0"/>
              <w:spacing w:line="400" w:lineRule="exact"/>
              <w:rPr>
                <w:rFonts w:asciiTheme="majorEastAsia" w:hAnsiTheme="majorEastAsia" w:eastAsiaTheme="majorEastAsia"/>
              </w:rPr>
            </w:pPr>
            <w:r>
              <w:rPr>
                <w:rFonts w:hint="eastAsia" w:cs="宋体;SimSun" w:asciiTheme="majorEastAsia" w:hAnsiTheme="majorEastAsia" w:eastAsiaTheme="majorEastAsia"/>
                <w:sz w:val="24"/>
              </w:rPr>
              <w:t>卖方系指为买方提供本合同项下货物和服务的中标人。</w:t>
            </w:r>
          </w:p>
          <w:p>
            <w:pPr>
              <w:spacing w:line="44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项目现场名称：</w:t>
            </w:r>
            <w:r>
              <w:rPr>
                <w:rFonts w:hint="eastAsia" w:cs="宋体;SimSun" w:asciiTheme="majorEastAsia" w:hAnsiTheme="majorEastAsia" w:eastAsiaTheme="majorEastAsia"/>
                <w:sz w:val="24"/>
              </w:rPr>
              <w:t>设备配置医院指定地点。</w:t>
            </w:r>
          </w:p>
        </w:tc>
      </w:tr>
      <w:tr>
        <w:tblPrEx>
          <w:tblCellMar>
            <w:top w:w="0" w:type="dxa"/>
            <w:left w:w="28" w:type="dxa"/>
            <w:bottom w:w="0" w:type="dxa"/>
            <w:right w:w="28" w:type="dxa"/>
          </w:tblCellMar>
        </w:tblPrEx>
        <w:trPr>
          <w:trHeight w:val="757" w:hRule="atLeast"/>
        </w:trPr>
        <w:tc>
          <w:tcPr>
            <w:tcW w:w="1288" w:type="dxa"/>
            <w:tcBorders>
              <w:top w:val="single" w:color="000000" w:sz="6" w:space="0"/>
              <w:left w:val="single" w:color="000000" w:sz="12" w:space="0"/>
              <w:bottom w:val="single" w:color="000000" w:sz="6" w:space="0"/>
            </w:tcBorders>
            <w:shd w:val="clear" w:color="auto" w:fill="auto"/>
            <w:vAlign w:val="center"/>
          </w:tcPr>
          <w:p>
            <w:pPr>
              <w:snapToGrid w:val="0"/>
              <w:spacing w:line="400" w:lineRule="exact"/>
              <w:jc w:val="center"/>
              <w:rPr>
                <w:rFonts w:cs="宋体;SimSun" w:asciiTheme="majorEastAsia" w:hAnsiTheme="majorEastAsia" w:eastAsiaTheme="majorEastAsia"/>
              </w:rPr>
            </w:pPr>
            <w:r>
              <w:rPr>
                <w:rFonts w:cs="宋体;SimSun" w:asciiTheme="majorEastAsia" w:hAnsiTheme="majorEastAsia" w:eastAsiaTheme="majorEastAsia"/>
                <w:sz w:val="24"/>
              </w:rPr>
              <w:t>7.1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rPr>
            </w:pPr>
            <w:r>
              <w:rPr>
                <w:rFonts w:cs="宋体;SimSun" w:asciiTheme="majorEastAsia" w:hAnsiTheme="majorEastAsia" w:eastAsiaTheme="majorEastAsia"/>
                <w:sz w:val="24"/>
              </w:rPr>
              <w:t>履约保证金金额：本项目不适用</w:t>
            </w:r>
          </w:p>
          <w:p>
            <w:pPr>
              <w:snapToGrid w:val="0"/>
              <w:spacing w:line="400" w:lineRule="exact"/>
              <w:rPr>
                <w:rFonts w:cs="宋体;SimSun" w:asciiTheme="majorEastAsia" w:hAnsiTheme="majorEastAsia" w:eastAsiaTheme="majorEastAsia"/>
              </w:rPr>
            </w:pPr>
            <w:r>
              <w:rPr>
                <w:rFonts w:cs="宋体;SimSun" w:asciiTheme="majorEastAsia" w:hAnsiTheme="majorEastAsia" w:eastAsiaTheme="majorEastAsia"/>
                <w:sz w:val="24"/>
              </w:rPr>
              <w:t>履约保证金币种：不适用</w:t>
            </w:r>
          </w:p>
        </w:tc>
      </w:tr>
      <w:tr>
        <w:tblPrEx>
          <w:tblCellMar>
            <w:top w:w="0" w:type="dxa"/>
            <w:left w:w="28" w:type="dxa"/>
            <w:bottom w:w="0" w:type="dxa"/>
            <w:right w:w="28" w:type="dxa"/>
          </w:tblCellMar>
        </w:tblPrEx>
        <w:trPr>
          <w:trHeight w:val="434" w:hRule="atLeast"/>
        </w:trPr>
        <w:tc>
          <w:tcPr>
            <w:tcW w:w="1288" w:type="dxa"/>
            <w:tcBorders>
              <w:top w:val="single" w:color="000000" w:sz="6" w:space="0"/>
              <w:left w:val="single" w:color="000000" w:sz="12" w:space="0"/>
              <w:bottom w:val="single" w:color="000000" w:sz="6" w:space="0"/>
            </w:tcBorders>
            <w:shd w:val="clear" w:color="auto" w:fill="auto"/>
            <w:vAlign w:val="center"/>
          </w:tcPr>
          <w:p>
            <w:pPr>
              <w:snapToGrid w:val="0"/>
              <w:spacing w:line="400" w:lineRule="exact"/>
              <w:jc w:val="center"/>
              <w:rPr>
                <w:rFonts w:cs="宋体;SimSun" w:asciiTheme="majorEastAsia" w:hAnsiTheme="majorEastAsia" w:eastAsiaTheme="majorEastAsia"/>
              </w:rPr>
            </w:pPr>
            <w:r>
              <w:rPr>
                <w:rFonts w:cs="宋体;SimSun" w:asciiTheme="majorEastAsia" w:hAnsiTheme="majorEastAsia" w:eastAsiaTheme="majorEastAsia"/>
                <w:sz w:val="24"/>
              </w:rPr>
              <w:t>7.3</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rPr>
            </w:pPr>
            <w:r>
              <w:rPr>
                <w:rFonts w:cs="宋体;SimSun" w:asciiTheme="majorEastAsia" w:hAnsiTheme="majorEastAsia" w:eastAsiaTheme="majorEastAsia"/>
                <w:sz w:val="24"/>
              </w:rPr>
              <w:t>履约保证金形式：不适用</w:t>
            </w:r>
          </w:p>
        </w:tc>
      </w:tr>
      <w:tr>
        <w:tblPrEx>
          <w:tblCellMar>
            <w:top w:w="0" w:type="dxa"/>
            <w:left w:w="28" w:type="dxa"/>
            <w:bottom w:w="0" w:type="dxa"/>
            <w:right w:w="28" w:type="dxa"/>
          </w:tblCellMar>
        </w:tblPrEx>
        <w:trPr>
          <w:trHeight w:val="302"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rPr>
            </w:pPr>
            <w:r>
              <w:rPr>
                <w:rFonts w:cs="宋体;SimSun" w:asciiTheme="majorEastAsia" w:hAnsiTheme="majorEastAsia" w:eastAsiaTheme="majorEastAsia"/>
                <w:sz w:val="24"/>
              </w:rPr>
              <w:t>项目现场：</w:t>
            </w:r>
            <w:r>
              <w:rPr>
                <w:rFonts w:hint="eastAsia" w:cs="宋体;SimSun" w:asciiTheme="majorEastAsia" w:hAnsiTheme="majorEastAsia" w:eastAsiaTheme="majorEastAsia"/>
                <w:sz w:val="24"/>
              </w:rPr>
              <w:t>设备配置医院指定地点。</w:t>
            </w:r>
          </w:p>
        </w:tc>
      </w:tr>
      <w:tr>
        <w:tblPrEx>
          <w:tblCellMar>
            <w:top w:w="0" w:type="dxa"/>
            <w:left w:w="28" w:type="dxa"/>
            <w:bottom w:w="0" w:type="dxa"/>
            <w:right w:w="28" w:type="dxa"/>
          </w:tblCellMar>
        </w:tblPrEx>
        <w:trPr>
          <w:trHeight w:val="292"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16.1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rPr>
            </w:pPr>
            <w:r>
              <w:rPr>
                <w:rFonts w:cs="宋体;SimSun" w:asciiTheme="majorEastAsia" w:hAnsiTheme="majorEastAsia" w:eastAsiaTheme="majorEastAsia"/>
                <w:sz w:val="24"/>
              </w:rPr>
              <w:t>应提供的伴随服务：16.1 1).2).3).4).5)</w:t>
            </w:r>
          </w:p>
        </w:tc>
      </w:tr>
      <w:tr>
        <w:tblPrEx>
          <w:tblCellMar>
            <w:top w:w="0" w:type="dxa"/>
            <w:left w:w="28" w:type="dxa"/>
            <w:bottom w:w="0" w:type="dxa"/>
            <w:right w:w="28" w:type="dxa"/>
          </w:tblCellMar>
        </w:tblPrEx>
        <w:trPr>
          <w:trHeight w:val="614"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17.2</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备件要求：卖方应提供验收后运行</w:t>
            </w:r>
            <w:r>
              <w:rPr>
                <w:rFonts w:hint="eastAsia" w:cs="宋体;SimSun" w:asciiTheme="majorEastAsia" w:hAnsiTheme="majorEastAsia" w:eastAsiaTheme="majorEastAsia"/>
                <w:sz w:val="24"/>
                <w:u w:val="single"/>
              </w:rPr>
              <w:t xml:space="preserve"> 2 </w:t>
            </w:r>
            <w:r>
              <w:rPr>
                <w:rFonts w:cs="宋体;SimSun" w:asciiTheme="majorEastAsia" w:hAnsiTheme="majorEastAsia" w:eastAsiaTheme="majorEastAsia"/>
                <w:sz w:val="24"/>
              </w:rPr>
              <w:t>年所需的备件清单及单价，其费用包括在合同价格内。</w:t>
            </w:r>
          </w:p>
        </w:tc>
      </w:tr>
      <w:tr>
        <w:tblPrEx>
          <w:tblCellMar>
            <w:top w:w="0" w:type="dxa"/>
            <w:left w:w="28" w:type="dxa"/>
            <w:bottom w:w="0" w:type="dxa"/>
            <w:right w:w="28" w:type="dxa"/>
          </w:tblCellMar>
        </w:tblPrEx>
        <w:trPr>
          <w:trHeight w:val="600"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18.2</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i/>
              </w:rPr>
            </w:pPr>
            <w:r>
              <w:rPr>
                <w:rFonts w:cs="宋体;SimSun" w:asciiTheme="majorEastAsia" w:hAnsiTheme="majorEastAsia" w:eastAsiaTheme="majorEastAsia"/>
                <w:sz w:val="24"/>
              </w:rPr>
              <w:t>免费质量保证（修）期：验收合格后至少</w:t>
            </w:r>
            <w:r>
              <w:rPr>
                <w:rFonts w:hint="eastAsia" w:cs="宋体;SimSun" w:asciiTheme="majorEastAsia" w:hAnsiTheme="majorEastAsia" w:eastAsiaTheme="majorEastAsia"/>
                <w:sz w:val="24"/>
                <w:u w:val="single"/>
              </w:rPr>
              <w:t>24</w:t>
            </w:r>
            <w:r>
              <w:rPr>
                <w:rFonts w:cs="宋体;SimSun" w:asciiTheme="majorEastAsia" w:hAnsiTheme="majorEastAsia" w:eastAsiaTheme="majorEastAsia"/>
                <w:sz w:val="24"/>
              </w:rPr>
              <w:t>个月</w:t>
            </w:r>
            <w:r>
              <w:rPr>
                <w:rFonts w:cs="宋体;SimSun" w:asciiTheme="majorEastAsia" w:hAnsiTheme="majorEastAsia" w:eastAsiaTheme="majorEastAsia"/>
                <w:b/>
                <w:sz w:val="24"/>
              </w:rPr>
              <w:t>。</w:t>
            </w:r>
          </w:p>
        </w:tc>
      </w:tr>
      <w:tr>
        <w:tblPrEx>
          <w:tblCellMar>
            <w:top w:w="0" w:type="dxa"/>
            <w:left w:w="28" w:type="dxa"/>
            <w:bottom w:w="0" w:type="dxa"/>
            <w:right w:w="28" w:type="dxa"/>
          </w:tblCellMar>
        </w:tblPrEx>
        <w:trPr>
          <w:trHeight w:val="298"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18.4</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rPr>
            </w:pPr>
            <w:r>
              <w:rPr>
                <w:rFonts w:hint="eastAsia" w:cs="宋体;SimSun" w:asciiTheme="majorEastAsia" w:hAnsiTheme="majorEastAsia" w:eastAsiaTheme="majorEastAsia"/>
                <w:sz w:val="24"/>
              </w:rPr>
              <w:t>免费维修或更换有缺陷的部件</w:t>
            </w:r>
            <w:r>
              <w:rPr>
                <w:rFonts w:cs="宋体;SimSun" w:asciiTheme="majorEastAsia" w:hAnsiTheme="majorEastAsia" w:eastAsiaTheme="majorEastAsia"/>
                <w:sz w:val="24"/>
              </w:rPr>
              <w:t>的期限</w:t>
            </w:r>
            <w:r>
              <w:rPr>
                <w:rFonts w:hint="eastAsia" w:cs="宋体;SimSun" w:asciiTheme="majorEastAsia" w:hAnsiTheme="majorEastAsia" w:eastAsiaTheme="majorEastAsia"/>
                <w:sz w:val="24"/>
                <w:highlight w:val="none"/>
              </w:rPr>
              <w:t>：</w:t>
            </w:r>
            <w:r>
              <w:rPr>
                <w:rFonts w:hint="eastAsia" w:cs="宋体;SimSun" w:asciiTheme="majorEastAsia" w:hAnsiTheme="majorEastAsia" w:eastAsiaTheme="majorEastAsia"/>
                <w:sz w:val="24"/>
                <w:highlight w:val="none"/>
                <w:u w:val="single"/>
              </w:rPr>
              <w:t>详见</w:t>
            </w:r>
            <w:r>
              <w:rPr>
                <w:rFonts w:cs="宋体;SimSun" w:asciiTheme="majorEastAsia" w:hAnsiTheme="majorEastAsia" w:eastAsiaTheme="majorEastAsia"/>
                <w:sz w:val="24"/>
                <w:highlight w:val="none"/>
                <w:u w:val="single"/>
              </w:rPr>
              <w:t>三、</w:t>
            </w:r>
            <w:r>
              <w:rPr>
                <w:rFonts w:hint="eastAsia" w:cs="宋体;SimSun" w:asciiTheme="majorEastAsia" w:hAnsiTheme="majorEastAsia" w:eastAsiaTheme="majorEastAsia"/>
                <w:sz w:val="24"/>
                <w:highlight w:val="none"/>
                <w:u w:val="single"/>
              </w:rPr>
              <w:t>其他</w:t>
            </w:r>
            <w:r>
              <w:rPr>
                <w:rFonts w:cs="宋体;SimSun" w:asciiTheme="majorEastAsia" w:hAnsiTheme="majorEastAsia" w:eastAsiaTheme="majorEastAsia"/>
                <w:sz w:val="24"/>
                <w:highlight w:val="none"/>
                <w:u w:val="single"/>
              </w:rPr>
              <w:t>售后服务要求</w:t>
            </w:r>
            <w:r>
              <w:rPr>
                <w:rFonts w:hint="eastAsia" w:cs="宋体;SimSun" w:asciiTheme="majorEastAsia" w:hAnsiTheme="majorEastAsia" w:eastAsiaTheme="majorEastAsia"/>
                <w:sz w:val="24"/>
                <w:highlight w:val="none"/>
              </w:rPr>
              <w:t>。</w:t>
            </w:r>
          </w:p>
        </w:tc>
      </w:tr>
      <w:tr>
        <w:tblPrEx>
          <w:tblCellMar>
            <w:top w:w="0" w:type="dxa"/>
            <w:left w:w="28" w:type="dxa"/>
            <w:bottom w:w="0" w:type="dxa"/>
            <w:right w:w="28" w:type="dxa"/>
          </w:tblCellMar>
        </w:tblPrEx>
        <w:trPr>
          <w:trHeight w:val="905"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20.1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pStyle w:val="14"/>
              <w:spacing w:line="440" w:lineRule="exact"/>
              <w:jc w:val="left"/>
              <w:rPr>
                <w:rFonts w:cs="宋体;SimSun" w:asciiTheme="majorEastAsia" w:hAnsiTheme="majorEastAsia" w:eastAsiaTheme="majorEastAsia"/>
                <w:szCs w:val="24"/>
              </w:rPr>
            </w:pPr>
            <w:r>
              <w:rPr>
                <w:rFonts w:cs="宋体;SimSun" w:asciiTheme="majorEastAsia" w:hAnsiTheme="majorEastAsia" w:eastAsiaTheme="majorEastAsia"/>
                <w:sz w:val="24"/>
                <w:szCs w:val="24"/>
              </w:rPr>
              <w:t>付款条件</w:t>
            </w:r>
            <w:r>
              <w:rPr>
                <w:rFonts w:hint="eastAsia" w:cs="宋体;SimSun" w:asciiTheme="majorEastAsia" w:hAnsiTheme="majorEastAsia" w:eastAsiaTheme="majorEastAsia"/>
                <w:sz w:val="24"/>
                <w:szCs w:val="24"/>
              </w:rPr>
              <w:t>和方式</w:t>
            </w:r>
            <w:r>
              <w:rPr>
                <w:rFonts w:cs="宋体;SimSun" w:asciiTheme="majorEastAsia" w:hAnsiTheme="majorEastAsia" w:eastAsiaTheme="majorEastAsia"/>
                <w:sz w:val="24"/>
                <w:szCs w:val="24"/>
                <w:highlight w:val="none"/>
              </w:rPr>
              <w:t>：</w:t>
            </w:r>
            <w:r>
              <w:rPr>
                <w:rFonts w:cs="宋体;SimSun" w:asciiTheme="majorEastAsia" w:hAnsiTheme="majorEastAsia" w:eastAsiaTheme="majorEastAsia"/>
                <w:sz w:val="24"/>
                <w:highlight w:val="none"/>
                <w:u w:val="single"/>
              </w:rPr>
              <w:t>五、</w:t>
            </w:r>
            <w:r>
              <w:rPr>
                <w:rFonts w:hint="eastAsia" w:cs="宋体;SimSun" w:asciiTheme="majorEastAsia" w:hAnsiTheme="majorEastAsia" w:eastAsiaTheme="majorEastAsia"/>
                <w:sz w:val="24"/>
                <w:highlight w:val="none"/>
                <w:u w:val="single"/>
              </w:rPr>
              <w:t>付款条件和方式</w:t>
            </w:r>
            <w:r>
              <w:rPr>
                <w:rFonts w:hint="eastAsia" w:cs="宋体;SimSun" w:asciiTheme="majorEastAsia" w:hAnsiTheme="majorEastAsia" w:eastAsiaTheme="majorEastAsia"/>
                <w:sz w:val="24"/>
                <w:highlight w:val="none"/>
              </w:rPr>
              <w:t>。</w:t>
            </w:r>
          </w:p>
        </w:tc>
      </w:tr>
      <w:tr>
        <w:tblPrEx>
          <w:tblCellMar>
            <w:top w:w="0" w:type="dxa"/>
            <w:left w:w="28" w:type="dxa"/>
            <w:bottom w:w="0" w:type="dxa"/>
            <w:right w:w="28" w:type="dxa"/>
          </w:tblCellMar>
        </w:tblPrEx>
        <w:trPr>
          <w:trHeight w:val="621"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35</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卖方通知送达地址：</w:t>
            </w:r>
            <w:r>
              <w:rPr>
                <w:rFonts w:hint="eastAsia" w:cs="宋体;SimSun" w:asciiTheme="majorEastAsia" w:hAnsiTheme="majorEastAsia" w:eastAsiaTheme="majorEastAsia"/>
                <w:sz w:val="24"/>
              </w:rPr>
              <w:t>设备配置医院指定地点。</w:t>
            </w:r>
          </w:p>
        </w:tc>
      </w:tr>
      <w:tr>
        <w:tblPrEx>
          <w:tblCellMar>
            <w:top w:w="0" w:type="dxa"/>
            <w:left w:w="28" w:type="dxa"/>
            <w:bottom w:w="0" w:type="dxa"/>
            <w:right w:w="28" w:type="dxa"/>
          </w:tblCellMar>
        </w:tblPrEx>
        <w:trPr>
          <w:trHeight w:val="520"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rPr>
            </w:pPr>
            <w:r>
              <w:rPr>
                <w:rFonts w:cs="宋体;SimSun" w:asciiTheme="majorEastAsia" w:hAnsiTheme="majorEastAsia" w:eastAsiaTheme="majorEastAsia"/>
                <w:sz w:val="24"/>
              </w:rPr>
              <w:t>36</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u w:val="single"/>
              </w:rPr>
            </w:pPr>
            <w:r>
              <w:rPr>
                <w:rFonts w:cs="宋体;SimSun" w:asciiTheme="majorEastAsia" w:hAnsiTheme="majorEastAsia" w:eastAsiaTheme="majorEastAsia"/>
                <w:sz w:val="24"/>
              </w:rPr>
              <w:t>互惠协议的标题是：“中华人民共和国政府和（合同卖方/制造商所在国）政府关于所得税和财产税避免双重征税和防止偷漏税的协定”</w:t>
            </w:r>
          </w:p>
        </w:tc>
      </w:tr>
      <w:tr>
        <w:tblPrEx>
          <w:tblCellMar>
            <w:top w:w="0" w:type="dxa"/>
            <w:left w:w="28" w:type="dxa"/>
            <w:bottom w:w="0" w:type="dxa"/>
            <w:right w:w="28" w:type="dxa"/>
          </w:tblCellMar>
        </w:tblPrEx>
        <w:trPr>
          <w:trHeight w:val="331" w:hRule="atLeast"/>
        </w:trPr>
        <w:tc>
          <w:tcPr>
            <w:tcW w:w="9710" w:type="dxa"/>
            <w:gridSpan w:val="2"/>
            <w:tcBorders>
              <w:top w:val="single" w:color="000000" w:sz="12" w:space="0"/>
              <w:left w:val="single" w:color="000000" w:sz="12" w:space="0"/>
              <w:bottom w:val="single" w:color="000000" w:sz="12" w:space="0"/>
              <w:right w:val="single" w:color="000000" w:sz="12" w:space="0"/>
            </w:tcBorders>
            <w:shd w:val="clear" w:color="auto" w:fill="auto"/>
            <w:vAlign w:val="center"/>
          </w:tcPr>
          <w:p>
            <w:pPr>
              <w:spacing w:line="440" w:lineRule="exact"/>
              <w:jc w:val="center"/>
              <w:rPr>
                <w:rFonts w:cs="宋体;SimSun" w:asciiTheme="majorEastAsia" w:hAnsiTheme="majorEastAsia" w:eastAsiaTheme="majorEastAsia"/>
              </w:rPr>
            </w:pPr>
            <w:r>
              <w:rPr>
                <w:rFonts w:cs="宋体;SimSun" w:asciiTheme="majorEastAsia" w:hAnsiTheme="majorEastAsia" w:eastAsiaTheme="majorEastAsia"/>
                <w:sz w:val="24"/>
              </w:rPr>
              <w:t>适用于本合同条款的额外增加的变动</w:t>
            </w:r>
          </w:p>
        </w:tc>
      </w:tr>
    </w:tbl>
    <w:p>
      <w:pPr>
        <w:pStyle w:val="14"/>
        <w:spacing w:line="280" w:lineRule="exact"/>
        <w:rPr>
          <w:rFonts w:cs="宋体;SimSun" w:asciiTheme="majorEastAsia" w:hAnsiTheme="majorEastAsia" w:eastAsiaTheme="majorEastAsia"/>
        </w:rPr>
      </w:pPr>
    </w:p>
    <w:p>
      <w:pPr>
        <w:pStyle w:val="14"/>
        <w:spacing w:line="280" w:lineRule="exact"/>
        <w:jc w:val="center"/>
        <w:rPr>
          <w:rFonts w:cs="宋体;SimSun" w:asciiTheme="majorEastAsia" w:hAnsiTheme="majorEastAsia" w:eastAsiaTheme="majorEastAsia"/>
        </w:rPr>
      </w:pPr>
    </w:p>
    <w:p>
      <w:pPr>
        <w:pStyle w:val="14"/>
        <w:spacing w:line="280" w:lineRule="exact"/>
        <w:jc w:val="center"/>
        <w:rPr>
          <w:rFonts w:cs="宋体;SimSun" w:asciiTheme="majorEastAsia" w:hAnsiTheme="majorEastAsia" w:eastAsiaTheme="majorEastAsia"/>
        </w:rPr>
        <w:sectPr>
          <w:headerReference r:id="rId5" w:type="default"/>
          <w:footerReference r:id="rId6" w:type="default"/>
          <w:pgSz w:w="11906" w:h="16838"/>
          <w:pgMar w:top="1134" w:right="1134" w:bottom="1134" w:left="1134" w:header="851" w:footer="992" w:gutter="0"/>
          <w:cols w:space="720" w:num="1"/>
          <w:formProt w:val="0"/>
          <w:docGrid w:type="lines" w:linePitch="312" w:charSpace="0"/>
        </w:sectPr>
      </w:pPr>
    </w:p>
    <w:p>
      <w:pPr>
        <w:pStyle w:val="14"/>
        <w:numPr>
          <w:ilvl w:val="0"/>
          <w:numId w:val="2"/>
        </w:numPr>
        <w:snapToGrid w:val="0"/>
        <w:spacing w:line="400" w:lineRule="atLeast"/>
        <w:ind w:left="1418" w:hanging="1418"/>
        <w:jc w:val="center"/>
        <w:rPr>
          <w:rFonts w:cs="宋体;SimSun" w:asciiTheme="majorEastAsia" w:hAnsiTheme="majorEastAsia" w:eastAsiaTheme="majorEastAsia"/>
          <w:b/>
          <w:sz w:val="36"/>
        </w:rPr>
      </w:pPr>
      <w:r>
        <w:rPr>
          <w:rFonts w:cs="宋体;SimSun" w:asciiTheme="majorEastAsia" w:hAnsiTheme="majorEastAsia" w:eastAsiaTheme="majorEastAsia"/>
          <w:b/>
          <w:sz w:val="36"/>
        </w:rPr>
        <w:t>货物需求一览表及技术规格</w:t>
      </w:r>
    </w:p>
    <w:p>
      <w:pPr>
        <w:pStyle w:val="14"/>
        <w:snapToGrid w:val="0"/>
        <w:spacing w:line="400" w:lineRule="atLeast"/>
        <w:ind w:left="1418"/>
        <w:jc w:val="center"/>
        <w:rPr>
          <w:rFonts w:cs="宋体;SimSun" w:asciiTheme="majorEastAsia" w:hAnsiTheme="majorEastAsia" w:eastAsiaTheme="majorEastAsia"/>
          <w:b/>
          <w:sz w:val="36"/>
        </w:rPr>
      </w:pPr>
    </w:p>
    <w:p>
      <w:pPr>
        <w:pStyle w:val="320"/>
        <w:snapToGrid w:val="0"/>
        <w:spacing w:line="400" w:lineRule="atLeast"/>
        <w:ind w:left="-359" w:firstLine="359"/>
        <w:rPr>
          <w:rFonts w:cs="宋体;SimSun" w:asciiTheme="majorEastAsia" w:hAnsiTheme="majorEastAsia" w:eastAsiaTheme="majorEastAsia"/>
          <w:b/>
          <w:sz w:val="24"/>
          <w:szCs w:val="24"/>
        </w:rPr>
      </w:pPr>
      <w:r>
        <w:rPr>
          <w:rFonts w:cs="宋体;SimSun" w:asciiTheme="majorEastAsia" w:hAnsiTheme="majorEastAsia" w:eastAsiaTheme="majorEastAsia"/>
          <w:b/>
          <w:sz w:val="24"/>
          <w:szCs w:val="24"/>
        </w:rPr>
        <w:t xml:space="preserve">一、货物需求一览表：    </w:t>
      </w:r>
    </w:p>
    <w:p>
      <w:pPr>
        <w:pStyle w:val="14"/>
        <w:tabs>
          <w:tab w:val="left" w:pos="8360"/>
        </w:tabs>
        <w:spacing w:line="400" w:lineRule="exact"/>
        <w:ind w:firstLine="480" w:firstLineChars="200"/>
        <w:jc w:val="left"/>
        <w:rPr>
          <w:rFonts w:hAnsi="宋体"/>
          <w:sz w:val="24"/>
          <w:szCs w:val="24"/>
        </w:rPr>
      </w:pPr>
      <w:r>
        <w:rPr>
          <w:rFonts w:hint="eastAsia" w:hAnsi="宋体"/>
          <w:sz w:val="24"/>
          <w:szCs w:val="24"/>
        </w:rPr>
        <w:t>1.1本项目为福建省卫生健康委</w:t>
      </w:r>
      <w:r>
        <w:rPr>
          <w:rFonts w:hint="eastAsia" w:hAnsi="宋体"/>
          <w:sz w:val="24"/>
          <w:szCs w:val="24"/>
          <w:highlight w:val="none"/>
        </w:rPr>
        <w:t>员会为</w:t>
      </w:r>
      <w:r>
        <w:rPr>
          <w:rFonts w:hint="eastAsia" w:hAnsi="宋体"/>
          <w:sz w:val="24"/>
          <w:szCs w:val="24"/>
          <w:highlight w:val="none"/>
          <w:lang w:eastAsia="zh-CN"/>
        </w:rPr>
        <w:t>福建</w:t>
      </w:r>
      <w:r>
        <w:rPr>
          <w:rFonts w:hint="eastAsia" w:hAnsi="宋体"/>
          <w:sz w:val="24"/>
          <w:szCs w:val="24"/>
          <w:highlight w:val="none"/>
        </w:rPr>
        <w:t>省内相关公立医院集中采购部分乙类大型医用设备(</w:t>
      </w:r>
      <w:r>
        <w:rPr>
          <w:rFonts w:hint="eastAsia" w:hAnsi="宋体"/>
          <w:sz w:val="24"/>
          <w:szCs w:val="24"/>
          <w:highlight w:val="none"/>
          <w:lang w:val="en-US" w:eastAsia="zh-CN"/>
        </w:rPr>
        <w:t>2021年</w:t>
      </w:r>
      <w:r>
        <w:rPr>
          <w:rFonts w:hint="eastAsia" w:hAnsi="宋体"/>
          <w:sz w:val="24"/>
          <w:szCs w:val="24"/>
          <w:highlight w:val="none"/>
        </w:rPr>
        <w:t>第</w:t>
      </w:r>
      <w:r>
        <w:rPr>
          <w:rFonts w:hint="eastAsia" w:hAnsi="宋体"/>
          <w:sz w:val="24"/>
          <w:szCs w:val="24"/>
          <w:highlight w:val="none"/>
          <w:lang w:eastAsia="zh-CN"/>
        </w:rPr>
        <w:t>一</w:t>
      </w:r>
      <w:r>
        <w:rPr>
          <w:rFonts w:hint="eastAsia" w:hAnsi="宋体"/>
          <w:sz w:val="24"/>
          <w:szCs w:val="24"/>
          <w:highlight w:val="none"/>
        </w:rPr>
        <w:t>批次)项目,请投标人务必仔</w:t>
      </w:r>
      <w:r>
        <w:rPr>
          <w:rFonts w:hint="eastAsia" w:hAnsi="宋体"/>
          <w:sz w:val="24"/>
          <w:szCs w:val="24"/>
        </w:rPr>
        <w:t>细阅读招标文件中所规定的，其中包括技术要求在内的所有细则，并如实响应本次项目所要求的技术、商务条款，若投标人提供虚假技术商务资料谋取中标的，按相关法律法规严肃处理。</w:t>
      </w:r>
    </w:p>
    <w:p>
      <w:pPr>
        <w:pStyle w:val="14"/>
        <w:tabs>
          <w:tab w:val="left" w:pos="8360"/>
        </w:tabs>
        <w:spacing w:line="400" w:lineRule="exact"/>
        <w:ind w:firstLine="480" w:firstLineChars="200"/>
        <w:jc w:val="left"/>
        <w:rPr>
          <w:rFonts w:hAnsi="宋体"/>
          <w:sz w:val="24"/>
          <w:szCs w:val="24"/>
        </w:rPr>
      </w:pPr>
      <w:r>
        <w:rPr>
          <w:rFonts w:hint="eastAsia" w:hAnsi="宋体"/>
          <w:sz w:val="24"/>
          <w:szCs w:val="24"/>
        </w:rPr>
        <w:t>1.2本项目采用统招分签模式，中标人需与各设备配置医院分别签订供货合同。具体设备清单如下：</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1815"/>
        <w:gridCol w:w="863"/>
        <w:gridCol w:w="2243"/>
        <w:gridCol w:w="1759"/>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5" w:hRule="atLeast"/>
          <w:jc w:val="center"/>
        </w:trPr>
        <w:tc>
          <w:tcPr>
            <w:tcW w:w="679" w:type="pct"/>
            <w:vAlign w:val="center"/>
          </w:tcPr>
          <w:p>
            <w:pPr>
              <w:jc w:val="center"/>
              <w:rPr>
                <w:rFonts w:ascii="宋体" w:hAnsi="宋体"/>
                <w:b/>
                <w:sz w:val="24"/>
              </w:rPr>
            </w:pPr>
            <w:r>
              <w:rPr>
                <w:rFonts w:hint="eastAsia" w:ascii="宋体" w:hAnsi="宋体"/>
                <w:b/>
                <w:sz w:val="24"/>
              </w:rPr>
              <w:t>合同包号</w:t>
            </w:r>
          </w:p>
        </w:tc>
        <w:tc>
          <w:tcPr>
            <w:tcW w:w="921" w:type="pct"/>
            <w:vAlign w:val="center"/>
          </w:tcPr>
          <w:p>
            <w:pPr>
              <w:jc w:val="center"/>
              <w:rPr>
                <w:rFonts w:ascii="宋体" w:hAnsi="宋体"/>
                <w:b/>
                <w:sz w:val="24"/>
              </w:rPr>
            </w:pPr>
            <w:r>
              <w:rPr>
                <w:rFonts w:hint="eastAsia" w:ascii="宋体" w:hAnsi="宋体"/>
                <w:b/>
                <w:sz w:val="24"/>
              </w:rPr>
              <w:t>货物名称</w:t>
            </w:r>
          </w:p>
        </w:tc>
        <w:tc>
          <w:tcPr>
            <w:tcW w:w="438" w:type="pct"/>
            <w:vAlign w:val="center"/>
          </w:tcPr>
          <w:p>
            <w:pPr>
              <w:jc w:val="center"/>
              <w:rPr>
                <w:rFonts w:ascii="宋体" w:hAnsi="宋体"/>
                <w:b/>
                <w:sz w:val="24"/>
              </w:rPr>
            </w:pPr>
            <w:r>
              <w:rPr>
                <w:rFonts w:hint="eastAsia" w:ascii="宋体" w:hAnsi="宋体"/>
                <w:b/>
                <w:sz w:val="24"/>
              </w:rPr>
              <w:t>数量</w:t>
            </w:r>
          </w:p>
        </w:tc>
        <w:tc>
          <w:tcPr>
            <w:tcW w:w="1138" w:type="pct"/>
            <w:vAlign w:val="center"/>
          </w:tcPr>
          <w:p>
            <w:pPr>
              <w:jc w:val="center"/>
              <w:rPr>
                <w:rFonts w:ascii="宋体" w:hAnsi="宋体"/>
                <w:b/>
                <w:sz w:val="24"/>
              </w:rPr>
            </w:pPr>
            <w:r>
              <w:rPr>
                <w:rFonts w:hint="eastAsia" w:ascii="宋体" w:hAnsi="宋体"/>
                <w:b/>
                <w:sz w:val="24"/>
              </w:rPr>
              <w:t>主要机术规格</w:t>
            </w:r>
          </w:p>
        </w:tc>
        <w:tc>
          <w:tcPr>
            <w:tcW w:w="892" w:type="pct"/>
            <w:vAlign w:val="center"/>
          </w:tcPr>
          <w:p>
            <w:pPr>
              <w:jc w:val="center"/>
              <w:rPr>
                <w:rFonts w:ascii="宋体" w:hAnsi="宋体"/>
                <w:b/>
                <w:sz w:val="24"/>
              </w:rPr>
            </w:pPr>
            <w:r>
              <w:rPr>
                <w:rFonts w:hint="eastAsia" w:ascii="宋体" w:hAnsi="宋体"/>
                <w:b/>
                <w:sz w:val="24"/>
              </w:rPr>
              <w:t>交货期</w:t>
            </w:r>
          </w:p>
        </w:tc>
        <w:tc>
          <w:tcPr>
            <w:tcW w:w="929" w:type="pct"/>
            <w:vAlign w:val="center"/>
          </w:tcPr>
          <w:p>
            <w:pPr>
              <w:jc w:val="center"/>
              <w:rPr>
                <w:rFonts w:ascii="宋体" w:hAnsi="宋体"/>
                <w:b/>
                <w:sz w:val="24"/>
              </w:rPr>
            </w:pPr>
            <w:r>
              <w:rPr>
                <w:rFonts w:hint="eastAsia" w:ascii="宋体" w:hAnsi="宋体"/>
                <w:b/>
                <w:sz w:val="24"/>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679" w:type="pct"/>
            <w:vAlign w:val="center"/>
          </w:tcPr>
          <w:p>
            <w:pPr>
              <w:jc w:val="center"/>
              <w:rPr>
                <w:rFonts w:ascii="宋体" w:hAnsi="宋体"/>
                <w:b/>
                <w:sz w:val="24"/>
              </w:rPr>
            </w:pPr>
            <w:r>
              <w:rPr>
                <w:rFonts w:hint="eastAsia" w:ascii="宋体" w:hAnsi="宋体"/>
                <w:b/>
                <w:sz w:val="24"/>
              </w:rPr>
              <w:t>1</w:t>
            </w:r>
          </w:p>
        </w:tc>
        <w:tc>
          <w:tcPr>
            <w:tcW w:w="921" w:type="pct"/>
            <w:vAlign w:val="center"/>
          </w:tcPr>
          <w:p>
            <w:pPr>
              <w:pStyle w:val="341"/>
              <w:spacing w:line="360" w:lineRule="exact"/>
              <w:ind w:left="0"/>
              <w:jc w:val="center"/>
              <w:rPr>
                <w:rFonts w:cs="宋体"/>
                <w:b/>
                <w:bCs/>
                <w:sz w:val="24"/>
              </w:rPr>
            </w:pPr>
            <w:r>
              <w:rPr>
                <w:rFonts w:hint="eastAsia" w:cs="宋体"/>
                <w:b/>
                <w:bCs/>
                <w:sz w:val="24"/>
              </w:rPr>
              <w:t>超高端CT</w:t>
            </w:r>
          </w:p>
        </w:tc>
        <w:tc>
          <w:tcPr>
            <w:tcW w:w="438" w:type="pct"/>
            <w:vAlign w:val="center"/>
          </w:tcPr>
          <w:p>
            <w:pPr>
              <w:jc w:val="center"/>
              <w:rPr>
                <w:rFonts w:ascii="宋体" w:hAnsi="宋体"/>
                <w:b/>
                <w:sz w:val="24"/>
              </w:rPr>
            </w:pPr>
            <w:r>
              <w:rPr>
                <w:rFonts w:hint="eastAsia" w:ascii="宋体" w:hAnsi="宋体"/>
                <w:b/>
                <w:sz w:val="24"/>
              </w:rPr>
              <w:t>6台</w:t>
            </w:r>
          </w:p>
        </w:tc>
        <w:tc>
          <w:tcPr>
            <w:tcW w:w="1138" w:type="pct"/>
            <w:vMerge w:val="restart"/>
            <w:vAlign w:val="center"/>
          </w:tcPr>
          <w:p>
            <w:pPr>
              <w:pStyle w:val="341"/>
              <w:spacing w:line="360" w:lineRule="exact"/>
              <w:ind w:left="0"/>
              <w:jc w:val="center"/>
              <w:rPr>
                <w:rFonts w:cs="宋体"/>
                <w:b/>
                <w:bCs/>
                <w:sz w:val="24"/>
              </w:rPr>
            </w:pPr>
            <w:r>
              <w:rPr>
                <w:rFonts w:hint="eastAsia" w:cs="宋体"/>
                <w:b/>
                <w:bCs/>
                <w:sz w:val="24"/>
              </w:rPr>
              <w:t>详见第八章“三、技术规格及配置要求”</w:t>
            </w:r>
          </w:p>
        </w:tc>
        <w:tc>
          <w:tcPr>
            <w:tcW w:w="892" w:type="pct"/>
            <w:vMerge w:val="restart"/>
            <w:vAlign w:val="center"/>
          </w:tcPr>
          <w:p>
            <w:pPr>
              <w:pStyle w:val="341"/>
              <w:spacing w:line="360" w:lineRule="exact"/>
              <w:ind w:left="0"/>
              <w:jc w:val="center"/>
              <w:rPr>
                <w:rFonts w:cs="宋体"/>
                <w:b/>
                <w:bCs/>
                <w:sz w:val="24"/>
              </w:rPr>
            </w:pPr>
            <w:r>
              <w:rPr>
                <w:rFonts w:hint="eastAsia" w:cs="宋体"/>
                <w:b/>
                <w:bCs/>
                <w:sz w:val="24"/>
              </w:rPr>
              <w:t>合同签订生效后60天内</w:t>
            </w:r>
          </w:p>
        </w:tc>
        <w:tc>
          <w:tcPr>
            <w:tcW w:w="929" w:type="pct"/>
            <w:vMerge w:val="restart"/>
            <w:vAlign w:val="center"/>
          </w:tcPr>
          <w:p>
            <w:pPr>
              <w:pStyle w:val="341"/>
              <w:spacing w:line="360" w:lineRule="exact"/>
              <w:ind w:left="0"/>
              <w:jc w:val="center"/>
              <w:rPr>
                <w:rFonts w:eastAsia="宋体" w:cs="宋体"/>
                <w:b/>
                <w:bCs/>
                <w:sz w:val="24"/>
              </w:rPr>
            </w:pPr>
            <w:r>
              <w:rPr>
                <w:rFonts w:hint="eastAsia" w:cs="宋体"/>
                <w:b/>
                <w:bCs/>
                <w:sz w:val="24"/>
              </w:rPr>
              <w:t>各设备配置医院指定地点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679" w:type="pct"/>
            <w:vAlign w:val="center"/>
          </w:tcPr>
          <w:p>
            <w:pPr>
              <w:jc w:val="center"/>
              <w:rPr>
                <w:rFonts w:ascii="宋体" w:hAnsi="宋体"/>
                <w:b/>
                <w:sz w:val="24"/>
              </w:rPr>
            </w:pPr>
            <w:r>
              <w:rPr>
                <w:rFonts w:hint="eastAsia" w:ascii="宋体" w:hAnsi="宋体"/>
                <w:b/>
                <w:sz w:val="24"/>
              </w:rPr>
              <w:t>2</w:t>
            </w:r>
          </w:p>
        </w:tc>
        <w:tc>
          <w:tcPr>
            <w:tcW w:w="921" w:type="pct"/>
            <w:vAlign w:val="center"/>
          </w:tcPr>
          <w:p>
            <w:pPr>
              <w:pStyle w:val="341"/>
              <w:spacing w:line="360" w:lineRule="exact"/>
              <w:ind w:left="0"/>
              <w:jc w:val="center"/>
              <w:rPr>
                <w:rFonts w:cs="宋体"/>
                <w:b/>
                <w:bCs/>
                <w:sz w:val="24"/>
              </w:rPr>
            </w:pPr>
            <w:r>
              <w:rPr>
                <w:rFonts w:hint="eastAsia" w:cs="宋体"/>
                <w:b/>
                <w:bCs/>
                <w:sz w:val="24"/>
              </w:rPr>
              <w:t>高端3.0T磁共振成像系统</w:t>
            </w:r>
          </w:p>
        </w:tc>
        <w:tc>
          <w:tcPr>
            <w:tcW w:w="438" w:type="pct"/>
            <w:vAlign w:val="center"/>
          </w:tcPr>
          <w:p>
            <w:pPr>
              <w:jc w:val="center"/>
              <w:rPr>
                <w:rFonts w:ascii="宋体" w:hAnsi="宋体"/>
                <w:b/>
                <w:sz w:val="24"/>
              </w:rPr>
            </w:pPr>
            <w:r>
              <w:rPr>
                <w:rFonts w:hint="eastAsia" w:ascii="宋体" w:hAnsi="宋体"/>
                <w:b/>
                <w:sz w:val="24"/>
              </w:rPr>
              <w:t>3台</w:t>
            </w:r>
          </w:p>
        </w:tc>
        <w:tc>
          <w:tcPr>
            <w:tcW w:w="1138" w:type="pct"/>
            <w:vMerge w:val="continue"/>
            <w:vAlign w:val="center"/>
          </w:tcPr>
          <w:p>
            <w:pPr>
              <w:pStyle w:val="341"/>
              <w:spacing w:line="360" w:lineRule="exact"/>
              <w:jc w:val="center"/>
              <w:rPr>
                <w:rFonts w:cs="宋体"/>
                <w:b/>
                <w:bCs/>
                <w:sz w:val="24"/>
              </w:rPr>
            </w:pPr>
          </w:p>
        </w:tc>
        <w:tc>
          <w:tcPr>
            <w:tcW w:w="892" w:type="pct"/>
            <w:vMerge w:val="continue"/>
            <w:vAlign w:val="center"/>
          </w:tcPr>
          <w:p>
            <w:pPr>
              <w:pStyle w:val="341"/>
              <w:spacing w:line="360" w:lineRule="exact"/>
              <w:jc w:val="center"/>
              <w:rPr>
                <w:rFonts w:cs="宋体"/>
                <w:b/>
                <w:bCs/>
                <w:sz w:val="24"/>
              </w:rPr>
            </w:pPr>
          </w:p>
        </w:tc>
        <w:tc>
          <w:tcPr>
            <w:tcW w:w="929" w:type="pct"/>
            <w:vMerge w:val="continue"/>
            <w:vAlign w:val="center"/>
          </w:tcPr>
          <w:p>
            <w:pPr>
              <w:pStyle w:val="341"/>
              <w:spacing w:line="360" w:lineRule="exact"/>
              <w:jc w:val="center"/>
              <w:rPr>
                <w:rFonts w:cs="宋体"/>
                <w:b/>
                <w:bCs/>
                <w:sz w:val="24"/>
              </w:rPr>
            </w:pPr>
          </w:p>
        </w:tc>
      </w:tr>
    </w:tbl>
    <w:p>
      <w:pPr>
        <w:pStyle w:val="14"/>
        <w:tabs>
          <w:tab w:val="left" w:pos="8360"/>
        </w:tabs>
        <w:spacing w:line="400" w:lineRule="exact"/>
        <w:ind w:firstLine="480" w:firstLineChars="200"/>
        <w:jc w:val="left"/>
        <w:rPr>
          <w:rFonts w:hAnsi="宋体"/>
          <w:sz w:val="24"/>
          <w:szCs w:val="24"/>
        </w:rPr>
      </w:pPr>
      <w:r>
        <w:rPr>
          <w:rFonts w:hint="eastAsia" w:hAnsi="宋体"/>
          <w:sz w:val="24"/>
          <w:szCs w:val="24"/>
        </w:rPr>
        <w:t>1.3投标人的报价应包括设备所涉及的有关项目费用进行报价，包括：产品制造、包装、劳务、管理、运输、保险、医院内安装、搬运、设备就位及现场清理、调试、检验（或抽样送检）、技术培训及技术资料、维护、保修、验收、外贸代理费（若有）、关税（若有）、保险增值税发票等，以及所有根据合同或其它原因应由投标人支付的税金和其它应缴的费用，以及可合理推断的责任和义务。</w:t>
      </w:r>
    </w:p>
    <w:p>
      <w:pPr>
        <w:pStyle w:val="320"/>
        <w:snapToGrid w:val="0"/>
        <w:spacing w:line="400" w:lineRule="atLeast"/>
        <w:ind w:left="-359" w:firstLine="359"/>
        <w:rPr>
          <w:rFonts w:cs="宋体;SimSun" w:asciiTheme="majorEastAsia" w:hAnsiTheme="majorEastAsia" w:eastAsiaTheme="majorEastAsia"/>
          <w:b/>
          <w:sz w:val="24"/>
          <w:szCs w:val="24"/>
        </w:rPr>
      </w:pPr>
      <w:r>
        <w:rPr>
          <w:rFonts w:cs="宋体;SimSun" w:asciiTheme="majorEastAsia" w:hAnsiTheme="majorEastAsia" w:eastAsiaTheme="majorEastAsia"/>
          <w:b/>
          <w:sz w:val="24"/>
          <w:szCs w:val="24"/>
        </w:rPr>
        <w:t>二、主要技术规格及要求:</w:t>
      </w:r>
    </w:p>
    <w:p>
      <w:pPr>
        <w:ind w:left="125" w:hanging="20"/>
        <w:jc w:val="center"/>
        <w:rPr>
          <w:rFonts w:asciiTheme="majorEastAsia" w:hAnsiTheme="majorEastAsia" w:eastAsiaTheme="majorEastAsia"/>
        </w:rPr>
      </w:pPr>
    </w:p>
    <w:p>
      <w:pPr>
        <w:adjustRightInd w:val="0"/>
        <w:snapToGrid w:val="0"/>
        <w:spacing w:line="400" w:lineRule="exact"/>
        <w:rPr>
          <w:rFonts w:asciiTheme="majorEastAsia" w:hAnsiTheme="majorEastAsia" w:eastAsiaTheme="majorEastAsia"/>
          <w:b/>
          <w:bCs/>
          <w:sz w:val="24"/>
          <w:szCs w:val="32"/>
        </w:rPr>
      </w:pPr>
      <w:r>
        <w:rPr>
          <w:rFonts w:hint="eastAsia" w:ascii="宋体" w:hAnsi="宋体" w:cs="宋体"/>
          <w:b/>
          <w:kern w:val="0"/>
          <w:sz w:val="24"/>
        </w:rPr>
        <w:t>合同包1：</w:t>
      </w:r>
      <w:r>
        <w:rPr>
          <w:rFonts w:hint="eastAsia" w:cs="宋体"/>
          <w:b/>
          <w:bCs/>
          <w:sz w:val="24"/>
        </w:rPr>
        <w:t>超高端CT</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6670"/>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序号</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宋体" w:hAnsi="宋体" w:eastAsia="宋体" w:cs="宋体"/>
                <w:sz w:val="24"/>
              </w:rPr>
            </w:pPr>
            <w:r>
              <w:rPr>
                <w:rFonts w:hint="eastAsia" w:ascii="宋体" w:hAnsi="宋体" w:eastAsia="宋体" w:cs="宋体"/>
                <w:sz w:val="24"/>
              </w:rPr>
              <w:t>技术和性能参数名称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宋体" w:hAnsi="宋体" w:eastAsia="宋体" w:cs="宋体"/>
                <w:sz w:val="24"/>
              </w:rPr>
            </w:pPr>
            <w:r>
              <w:rPr>
                <w:rFonts w:hint="eastAsia" w:ascii="宋体" w:hAnsi="宋体" w:eastAsia="宋体" w:cs="宋体"/>
                <w:sz w:val="24"/>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w:t>
            </w:r>
            <w:r>
              <w:rPr>
                <w:rFonts w:hint="eastAsia" w:ascii="宋体" w:hAnsi="宋体" w:eastAsia="宋体" w:cs="宋体"/>
                <w:sz w:val="24"/>
              </w:rPr>
              <w:t>总体要求</w:t>
            </w:r>
          </w:p>
        </w:tc>
        <w:tc>
          <w:tcPr>
            <w:tcW w:w="4389" w:type="pct"/>
            <w:gridSpan w:val="2"/>
            <w:tcBorders>
              <w:top w:val="single" w:color="auto" w:sz="4" w:space="0"/>
              <w:left w:val="single" w:color="auto" w:sz="4" w:space="0"/>
              <w:bottom w:val="single" w:color="auto" w:sz="4" w:space="0"/>
              <w:right w:val="single" w:color="auto" w:sz="4" w:space="0"/>
            </w:tcBorders>
            <w:vAlign w:val="center"/>
          </w:tcPr>
          <w:p>
            <w:pPr>
              <w:spacing w:line="300" w:lineRule="auto"/>
              <w:rPr>
                <w:rFonts w:hint="eastAsia" w:ascii="宋体" w:hAnsi="宋体" w:eastAsia="宋体" w:cs="宋体"/>
                <w:b/>
                <w:sz w:val="24"/>
                <w:lang w:eastAsia="zh-CN"/>
              </w:rPr>
            </w:pPr>
            <w:r>
              <w:rPr>
                <w:rFonts w:hint="eastAsia" w:ascii="宋体" w:hAnsi="宋体" w:eastAsia="宋体" w:cs="宋体"/>
                <w:b/>
                <w:sz w:val="24"/>
              </w:rPr>
              <w:t>1.各供应商所投机型应为：探测器排数≥256排或双源≥96排×2</w:t>
            </w:r>
            <w:r>
              <w:rPr>
                <w:rFonts w:hint="eastAsia" w:ascii="宋体" w:hAnsi="宋体" w:eastAsia="宋体" w:cs="宋体"/>
                <w:b/>
                <w:sz w:val="24"/>
                <w:lang w:eastAsia="zh-CN"/>
              </w:rPr>
              <w:t>；</w:t>
            </w:r>
          </w:p>
          <w:p>
            <w:pPr>
              <w:spacing w:line="300" w:lineRule="auto"/>
              <w:rPr>
                <w:rFonts w:hint="eastAsia" w:ascii="宋体" w:hAnsi="宋体" w:eastAsia="宋体" w:cs="宋体"/>
                <w:b/>
                <w:sz w:val="24"/>
                <w:lang w:eastAsia="zh-CN"/>
              </w:rPr>
            </w:pPr>
            <w:r>
              <w:rPr>
                <w:rFonts w:hint="eastAsia" w:ascii="宋体" w:hAnsi="宋体" w:eastAsia="宋体" w:cs="宋体"/>
                <w:b/>
                <w:sz w:val="24"/>
              </w:rPr>
              <w:t>2.必须免费提供所购机型含有的所有配置及CFDA注册所有软硬件（提供技术白皮书）</w:t>
            </w:r>
            <w:r>
              <w:rPr>
                <w:rFonts w:hint="eastAsia" w:ascii="宋体" w:hAnsi="宋体" w:eastAsia="宋体" w:cs="宋体"/>
                <w:b/>
                <w:sz w:val="24"/>
                <w:lang w:eastAsia="zh-CN"/>
              </w:rPr>
              <w:t>；</w:t>
            </w:r>
          </w:p>
          <w:p>
            <w:pPr>
              <w:spacing w:line="300" w:lineRule="auto"/>
              <w:rPr>
                <w:rFonts w:hint="eastAsia" w:ascii="宋体" w:hAnsi="宋体" w:eastAsia="宋体;SimSun" w:cs="宋体"/>
                <w:b/>
                <w:color w:val="auto"/>
                <w:sz w:val="24"/>
                <w:lang w:eastAsia="zh-CN"/>
              </w:rPr>
            </w:pPr>
            <w:r>
              <w:rPr>
                <w:rFonts w:hint="eastAsia" w:ascii="宋体" w:hAnsi="宋体" w:cs="宋体"/>
                <w:b/>
                <w:color w:val="auto"/>
                <w:sz w:val="24"/>
              </w:rPr>
              <w:t>3.为保障设备使用稳定性，所投同厂家、同型号、同产地设备在国内装机量不少于100台</w:t>
            </w:r>
            <w:r>
              <w:rPr>
                <w:rFonts w:hint="eastAsia" w:ascii="宋体" w:hAnsi="宋体" w:cs="宋体"/>
                <w:b/>
                <w:color w:val="auto"/>
                <w:sz w:val="24"/>
                <w:lang w:eastAsia="zh-CN"/>
              </w:rPr>
              <w:t>；</w:t>
            </w:r>
          </w:p>
          <w:p>
            <w:pPr>
              <w:spacing w:line="300" w:lineRule="auto"/>
              <w:rPr>
                <w:rFonts w:hint="eastAsia" w:ascii="宋体" w:hAnsi="宋体" w:eastAsia="宋体" w:cs="宋体"/>
                <w:b/>
                <w:sz w:val="24"/>
                <w:lang w:eastAsia="zh-CN"/>
              </w:rPr>
            </w:pPr>
            <w:r>
              <w:rPr>
                <w:rFonts w:hint="eastAsia" w:ascii="宋体" w:hAnsi="宋体" w:eastAsia="宋体" w:cs="宋体"/>
                <w:b/>
                <w:sz w:val="24"/>
              </w:rPr>
              <w:t>4. 整机（含球管、探测器</w:t>
            </w:r>
            <w:r>
              <w:rPr>
                <w:rFonts w:hint="eastAsia" w:ascii="宋体" w:hAnsi="宋体" w:eastAsia="宋体" w:cs="宋体"/>
                <w:b/>
                <w:caps/>
                <w:sz w:val="24"/>
              </w:rPr>
              <w:t>以及所配置的第三方产品等</w:t>
            </w:r>
            <w:r>
              <w:rPr>
                <w:rFonts w:hint="eastAsia" w:ascii="宋体" w:hAnsi="宋体" w:eastAsia="宋体" w:cs="宋体"/>
                <w:b/>
                <w:sz w:val="24"/>
              </w:rPr>
              <w:t>）</w:t>
            </w:r>
            <w:r>
              <w:rPr>
                <w:rFonts w:hint="eastAsia" w:ascii="宋体" w:hAnsi="宋体" w:eastAsia="宋体" w:cs="宋体"/>
                <w:b/>
                <w:caps/>
                <w:sz w:val="24"/>
              </w:rPr>
              <w:t>免费维保≥2年</w:t>
            </w:r>
            <w:r>
              <w:rPr>
                <w:rFonts w:hint="eastAsia" w:ascii="宋体" w:hAnsi="宋体" w:eastAsia="宋体" w:cs="宋体"/>
                <w:b/>
                <w:sz w:val="24"/>
                <w:lang w:eastAsia="zh-CN"/>
              </w:rPr>
              <w:t>；</w:t>
            </w:r>
          </w:p>
          <w:p>
            <w:pPr>
              <w:spacing w:line="300" w:lineRule="auto"/>
              <w:rPr>
                <w:rFonts w:hint="eastAsia" w:ascii="宋体" w:hAnsi="宋体" w:eastAsia="宋体" w:cs="宋体"/>
                <w:b/>
                <w:sz w:val="24"/>
                <w:highlight w:val="none"/>
                <w:lang w:eastAsia="zh-CN"/>
              </w:rPr>
            </w:pPr>
            <w:r>
              <w:rPr>
                <w:rFonts w:hint="eastAsia" w:ascii="宋体" w:hAnsi="宋体" w:eastAsia="宋体" w:cs="宋体"/>
                <w:b/>
                <w:sz w:val="24"/>
              </w:rPr>
              <w:t>5.保修期结束后应承诺原厂整机年维保费（含球管、探测器</w:t>
            </w:r>
            <w:r>
              <w:rPr>
                <w:rFonts w:hint="eastAsia" w:ascii="宋体" w:hAnsi="宋体" w:eastAsia="宋体" w:cs="宋体"/>
                <w:b/>
                <w:caps/>
                <w:sz w:val="24"/>
              </w:rPr>
              <w:t>以及所配置的第三方产品等</w:t>
            </w:r>
            <w:r>
              <w:rPr>
                <w:rFonts w:hint="eastAsia" w:ascii="宋体" w:hAnsi="宋体" w:eastAsia="宋体" w:cs="宋体"/>
                <w:b/>
                <w:sz w:val="24"/>
              </w:rPr>
              <w:t>）原则上不得超过中标价</w:t>
            </w:r>
            <w:r>
              <w:rPr>
                <w:rFonts w:hint="eastAsia" w:ascii="宋体" w:hAnsi="宋体" w:eastAsia="宋体" w:cs="宋体"/>
                <w:b/>
                <w:sz w:val="24"/>
                <w:highlight w:val="none"/>
              </w:rPr>
              <w:t>的7%，</w:t>
            </w:r>
            <w:r>
              <w:rPr>
                <w:rFonts w:hint="eastAsia" w:ascii="宋体" w:hAnsi="宋体" w:eastAsia="宋体" w:cs="宋体"/>
                <w:b/>
                <w:caps/>
                <w:sz w:val="24"/>
                <w:highlight w:val="none"/>
              </w:rPr>
              <w:t>提供承诺函并根据各家医院实际需求与中标商自行协商,但须按照相关法律法规及流程执行</w:t>
            </w:r>
            <w:r>
              <w:rPr>
                <w:rFonts w:hint="eastAsia" w:ascii="宋体" w:hAnsi="宋体" w:eastAsia="宋体" w:cs="宋体"/>
                <w:b/>
                <w:sz w:val="24"/>
                <w:highlight w:val="none"/>
                <w:lang w:eastAsia="zh-CN"/>
              </w:rPr>
              <w:t>；</w:t>
            </w:r>
          </w:p>
          <w:p>
            <w:pPr>
              <w:widowControl/>
              <w:adjustRightInd w:val="0"/>
              <w:snapToGrid w:val="0"/>
              <w:spacing w:line="300" w:lineRule="auto"/>
              <w:jc w:val="left"/>
              <w:rPr>
                <w:rFonts w:ascii="宋体" w:hAnsi="宋体" w:eastAsia="宋体" w:cs="宋体"/>
                <w:b/>
                <w:bCs/>
                <w:kern w:val="0"/>
                <w:sz w:val="24"/>
              </w:rPr>
            </w:pPr>
            <w:r>
              <w:rPr>
                <w:rFonts w:hint="eastAsia" w:ascii="宋体" w:hAnsi="宋体" w:eastAsia="宋体" w:cs="宋体"/>
                <w:b/>
                <w:bCs/>
                <w:kern w:val="0"/>
                <w:sz w:val="24"/>
                <w:highlight w:val="none"/>
              </w:rPr>
              <w:t>6.须提供</w:t>
            </w:r>
            <w:r>
              <w:rPr>
                <w:rStyle w:val="33"/>
                <w:rFonts w:hint="eastAsia" w:ascii="宋体" w:hAnsi="宋体" w:eastAsia="宋体" w:cs="宋体"/>
                <w:sz w:val="24"/>
                <w:szCs w:val="24"/>
                <w:highlight w:val="none"/>
              </w:rPr>
              <w:t>最新的原厂Data Sheet技术资料（技术白皮书）</w:t>
            </w:r>
            <w:r>
              <w:rPr>
                <w:rFonts w:hint="eastAsia" w:ascii="宋体" w:hAnsi="宋体" w:eastAsia="宋体" w:cs="宋体"/>
                <w:b/>
                <w:bCs/>
                <w:kern w:val="0"/>
                <w:sz w:val="24"/>
                <w:highlight w:val="none"/>
              </w:rPr>
              <w:t>或权威检测机构出具的</w:t>
            </w:r>
            <w:r>
              <w:rPr>
                <w:rStyle w:val="33"/>
                <w:rFonts w:hint="eastAsia" w:ascii="宋体" w:hAnsi="宋体" w:eastAsia="宋体" w:cs="宋体"/>
                <w:sz w:val="24"/>
                <w:szCs w:val="24"/>
                <w:highlight w:val="none"/>
              </w:rPr>
              <w:t>合法有效的</w:t>
            </w:r>
            <w:r>
              <w:rPr>
                <w:rFonts w:hint="eastAsia" w:ascii="宋体" w:hAnsi="宋体" w:eastAsia="宋体" w:cs="宋体"/>
                <w:b/>
                <w:bCs/>
                <w:kern w:val="0"/>
                <w:sz w:val="24"/>
                <w:highlight w:val="none"/>
              </w:rPr>
              <w:t>检测报告复印件并加盖制造商公章佐证技术参数。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一体化影像链，球管、高压发生器和探测器为CT同品牌生产商制造（提供相关证明）</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机架系统</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为了兼顾X射线的传播效率和病人舒适性，机架孔径：≥70cm且≤80cm</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机架驱动方式：电磁直接驱动，或磁悬浮技术，或数字化钢带驱动</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滑环类型：无碳刷滑环或低压滑环</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滑环数据传输方式：射频信号传递</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机架具备内置病人信息显示装置</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机架孔内患者安抚环境灯光</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机架液晶屏可显示病人信息，例如姓名、年龄、检查部位等</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X线部分</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高压发生器最大功率</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≥150KW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最高输出管电流</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≥700mA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最低输出管电流</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高压发生器全程管电流最小增幅，适用于10mA-700mA以上</w:t>
            </w:r>
            <w:r>
              <w:rPr>
                <w:rFonts w:hint="eastAsia" w:ascii="宋体" w:hAnsi="宋体" w:eastAsia="宋体" w:cs="宋体"/>
                <w:kern w:val="0"/>
                <w:sz w:val="24"/>
              </w:rPr>
              <w:t>（提供技术白皮书或</w:t>
            </w:r>
            <w:r>
              <w:rPr>
                <w:rFonts w:hint="eastAsia" w:ascii="宋体" w:hAnsi="宋体" w:eastAsia="宋体" w:cs="宋体"/>
                <w:bCs/>
                <w:kern w:val="0"/>
                <w:sz w:val="24"/>
              </w:rPr>
              <w:t>检测机构出具的检测报告</w:t>
            </w:r>
            <w:r>
              <w:rPr>
                <w:rFonts w:hint="eastAsia" w:ascii="宋体" w:hAnsi="宋体" w:eastAsia="宋体" w:cs="宋体"/>
                <w:kern w:val="0"/>
                <w:sz w:val="24"/>
              </w:rPr>
              <w:t>）</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管电压输出档位</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最高输出管电压</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高压发生器支持能谱扫描技术或者双能量成像技术，高低电压切换最小时间间隔≤50ms</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球管冷却方式：风冷或水冷</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球管冷却效率</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≥2000KHU/min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球管焦点个数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球管小焦点大小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≤1.0mm×0.7mm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球管焦点到探测器距离</w:t>
            </w:r>
            <w:r>
              <w:rPr>
                <w:rFonts w:hint="eastAsia" w:ascii="宋体" w:hAnsi="宋体" w:eastAsia="宋体" w:cs="宋体"/>
                <w:kern w:val="0"/>
                <w:sz w:val="24"/>
              </w:rPr>
              <w:t>（提供技术白皮书或</w:t>
            </w:r>
            <w:r>
              <w:rPr>
                <w:rFonts w:hint="eastAsia" w:ascii="宋体" w:hAnsi="宋体" w:eastAsia="宋体" w:cs="宋体"/>
                <w:bCs/>
                <w:kern w:val="0"/>
                <w:sz w:val="24"/>
              </w:rPr>
              <w:t>检测机构出具的检测报告</w:t>
            </w:r>
            <w:r>
              <w:rPr>
                <w:rFonts w:hint="eastAsia" w:ascii="宋体" w:hAnsi="宋体" w:eastAsia="宋体" w:cs="宋体"/>
                <w:kern w:val="0"/>
                <w:sz w:val="24"/>
              </w:rPr>
              <w:t>）</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最低输出管电压（非等效）</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 xml:space="preserve">≤70KV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球管最大热容量（非等效）</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≥6.8MHU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双能量成像扫描最大管电压</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双能量成像管电压输出范围</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≥80KV-140KV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探测器：提供最新型探测器</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4.1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探测器排数：探测器物理排数≥256排或双源96排×2</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探测器物理总宽度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≥16cm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探测器Z轴排列设计：为等焦探测器或球面探测器设计</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探测器在等中心线覆盖的Z轴宽度≥16cm,或双球管双探测器Z轴宽度≥2×5.76cm</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数据采集系统：DAS高集成化设计</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准直器：具备后准直器能够阻挡X/Y和Z轴方向的散射线</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每排探测器物理单元个数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≥830个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探测器材质的余辉效应</w:t>
            </w:r>
            <w:r>
              <w:rPr>
                <w:rFonts w:hint="eastAsia" w:ascii="宋体" w:hAnsi="宋体" w:eastAsia="宋体" w:cs="宋体"/>
                <w:kern w:val="0"/>
                <w:sz w:val="24"/>
              </w:rPr>
              <w:t>（提供技术白皮书或</w:t>
            </w:r>
            <w:r>
              <w:rPr>
                <w:rFonts w:hint="eastAsia" w:ascii="宋体" w:hAnsi="宋体" w:eastAsia="宋体" w:cs="宋体"/>
                <w:bCs/>
                <w:kern w:val="0"/>
                <w:sz w:val="24"/>
              </w:rPr>
              <w:t>检测机构出具的检测报告</w:t>
            </w:r>
            <w:r>
              <w:rPr>
                <w:rFonts w:hint="eastAsia" w:ascii="宋体" w:hAnsi="宋体" w:eastAsia="宋体" w:cs="宋体"/>
                <w:kern w:val="0"/>
                <w:sz w:val="24"/>
              </w:rPr>
              <w:t>）</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≤0.001%@40ms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探测器数据采集系统（DAS）每秒数据采样数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≥8900HZ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 xml:space="preserve">5.1 </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为了更好的实现多部位联合扫描，扫描床最大可扫描长度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≥2000mm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螺旋扫描最大可扫描长度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≥1850mm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最大定位像可扫描长度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≥2000mm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扫描床水平移动范围</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≥2000mm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扫描床最大水平移动速度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≥300mm/秒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扫描床垂直升降最低点</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扫描床垂直升降最高点</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扫描床精度最大承重</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≥225KG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在垂直位置上，床可以自动回复到中心平面</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急诊模式下床最大水平移动速度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≥250mm/秒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扫描床控制脚踏开关</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提供头套，膝垫等扫描附件</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主控制台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 xml:space="preserve">6.1 </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主控台计算机</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具备，提供型号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计算机内存</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≥24GB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硬盘容量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图像存储量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≥600,000幅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主控计算机软件平台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jc w:val="left"/>
              <w:rPr>
                <w:rFonts w:ascii="宋体" w:hAnsi="宋体" w:eastAsia="宋体" w:cs="宋体"/>
                <w:sz w:val="24"/>
              </w:rPr>
            </w:pPr>
            <w:r>
              <w:rPr>
                <w:rFonts w:hint="eastAsia" w:ascii="宋体" w:hAnsi="宋体" w:eastAsia="宋体" w:cs="宋体"/>
                <w:sz w:val="24"/>
              </w:rPr>
              <w:t>Linux或Windows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液晶显示器尺寸</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≥23寸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液晶显示器数量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液晶显示器分辨率</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≥1920×1200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支持CD／DVD读取和刻录</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具备≥2个USB 2.0外置接口</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并行重建功能：并行处理多种模式的图像的重建与重组，可以在一个方案中预置和完成不同算法的重建任务</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同步并行处理功能：扫描、重建、显示、存储、打印等操作可同步进行</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双向交流系统：自动病人呼吸屏气辅助控制系统，双向语音传输</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图像光盘存储系统DVD刻录（DICOM兼容）</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DICOM3.0：提供DICOM3.0激光相机接口（传输/接收/打印/存档/查询/工作表等）</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6.1.15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具有DICOM Modality Worklist工作列表软件</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低剂量管理功能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扫描剂量预估功能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剂量报告功能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扫描剂量智能监控预警功能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自动mA功能（10mA-600mA自动选择）</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自动kV功能（70KV-140KV自动选择）</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具备70KV低剂量扫描功能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敏感器官保护自动降低mA功能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6.2.8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儿科专用扫描菜单（70KV/80KV可选择）</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 xml:space="preserve">6.3 </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自适应统计迭代重建算法：具备，GE必须提供ASiR-V，西门子必须提供ADMIRE，佳能必须提供FIRST，联影必须提供KARL 3D，其他厂家类同</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低毫安输出（10-100mA）时毫安步进量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高毫安输出（100mA以上）时毫安步进量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扫描参数和重建参数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7.1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为确保各种心脏疾病得到准确的检查，最快扫描时间</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≤0.28S/360°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心脏成像单扇区有效时间分辨率</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≤66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最薄图像扫描层厚</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≤0.625mm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具有实时定位相扫描功能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具有心脏与头颈部血管联合扫描功能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门控和非门控融合扫描功能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螺旋扫描螺距范围≥0.508:1 - 1.5:1，多级可调</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轴扫切换至螺旋扫描的切换时间（请提供扫描界面截屏证明有此参数）</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≤3s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最大双定位像长度</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≥2000mm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图像重建矩阵</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≥512×512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扩展CT值范围≥-10000到+30000范围</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高清重建算法可以去除锥形束伪影</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高清重建算法可以去除X线足跟效应产生的伪影</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高清重建算法可以去除X线硬化伪影</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高清重建算法可以去除金属伪影</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高清重建算法重建速度</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≥60幅/秒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X/Y轴 空间分辨率 MTF=10%（探测器全覆盖情况下）</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≥16 LP/cm（提供技术白皮书，技术白皮书须对此功能进行详细描述，不得以其他条件的参数替代）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X/Y轴 空间分辨率 MTF=50%（探测器全覆盖情况下）</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≥12 LP/cm（提供技术白皮书，技术白皮书须对此功能进行详细描述，不得以其他条件的参数替代）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7.19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低密度分辨率：用5mm体模测量：5mm@0.3%, 5mm重建层厚</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≤9mGy CTDI vol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7.20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高对比度分辨率：X-Y轴 ≤0.28mm</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高对比度分辨率：Z轴 ≤0.30mm</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心脏成像功能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ECG实时监测</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ECG自动毫安调控功能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不受心率和心律限制的前门控轴扫技术</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房颤病人的单心动周期冠脉成像技术</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不受心率和心律限制的单心动周期一站式心脏解剖+心功能成像技术</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主控台心电图显示和保存功能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通过冠脉运动容积分析进行最佳期相自动选择</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智能异常心率管理：自动识别不规则心率、异常心率并自动重新扫描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心脏扫描管电压可选择范围大于5档，分别列出</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成人低剂量心脏70KV检查功能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8.11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小儿先心70KV检查功能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4D扫描及灌注扫描功能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单器官灌注非对称采样功能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全脑一站式功能成像，一次对比剂注射，可以完成头颈部血管、全脑4D血流成像、全脑动态灌注成像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脑卒中一站式联合扫描,一站式脑血管侧枝循环分析、全脑动态灌注扫描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不动床全脑灌注功能，灌注范围≥12cm</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低剂量灌注扫描：10mA及70kv输出灌注扫描模式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低剂量肺扫描：10mA及70kv输出肺癌筛查模式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9.7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70KV全脑灌注功能</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能量成像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最快能量时间分辨率下的能谱成像扫描FOV</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操作台上同时自动重建能谱图像</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操作台上重建能谱图像后直接发送能谱图像至PACS</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原始数据空间能谱分析功能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能重建出单能量图像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能重建出能谱曲线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能重建出有效原子序数</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基物质添加功能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虚拟平扫技术</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能谱成像或者双能量成像下的最快双能量切换时间（能够在高能量KV和低能量KV进行能量切换的时间）</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≤50ms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双能量成像时的高能量KV数据</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≥140KV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10.12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双能量成像时的低能量KV数据</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≤80KV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高级原厂图像后处理工作站及应用软件（必须含但不限于下列各条，凡经CFDA注册的均须免费提供），数量两套</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放射科信息管理系统自动连接功能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图像三维分析系统</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具备多平面重建功能MPR</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11.2.2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最大密度投影MIP</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11.2.3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最小密度投影MinIP</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11.2.4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容积三维重建(Volume Rendering)</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11.2.5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容积仿真内窥镜功能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自动轮廓勾画</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序列对</w:t>
            </w:r>
            <w:r>
              <w:rPr>
                <w:rFonts w:hint="eastAsia" w:ascii="宋体" w:hAnsi="宋体" w:eastAsia="宋体" w:cs="宋体"/>
                <w:sz w:val="24"/>
                <w:lang w:eastAsia="zh-CN"/>
              </w:rPr>
              <w:t>比</w:t>
            </w:r>
            <w:r>
              <w:rPr>
                <w:rFonts w:hint="eastAsia" w:ascii="宋体" w:hAnsi="宋体" w:eastAsia="宋体" w:cs="宋体"/>
                <w:sz w:val="24"/>
              </w:rPr>
              <w:t>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动态三维分析</w:t>
            </w:r>
            <w:r>
              <w:rPr>
                <w:rFonts w:hint="eastAsia" w:ascii="宋体" w:hAnsi="宋体" w:eastAsia="宋体" w:cs="宋体"/>
                <w:sz w:val="24"/>
                <w:lang w:eastAsia="zh-CN"/>
              </w:rPr>
              <w:t>工</w:t>
            </w:r>
            <w:r>
              <w:rPr>
                <w:rFonts w:hint="eastAsia" w:ascii="宋体" w:hAnsi="宋体" w:eastAsia="宋体" w:cs="宋体"/>
                <w:sz w:val="24"/>
              </w:rPr>
              <w:t>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曲面重建感兴趣区放置工具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多期相融合分析技术</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电影模式</w:t>
            </w:r>
            <w:r>
              <w:rPr>
                <w:rFonts w:hint="eastAsia" w:ascii="宋体" w:hAnsi="宋体" w:eastAsia="宋体" w:cs="宋体"/>
                <w:sz w:val="24"/>
                <w:lang w:eastAsia="zh-CN"/>
              </w:rPr>
              <w:t>工</w:t>
            </w:r>
            <w:r>
              <w:rPr>
                <w:rFonts w:hint="eastAsia" w:ascii="宋体" w:hAnsi="宋体" w:eastAsia="宋体" w:cs="宋体"/>
                <w:sz w:val="24"/>
              </w:rPr>
              <w:t>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透明重建</w:t>
            </w:r>
            <w:r>
              <w:rPr>
                <w:rFonts w:hint="eastAsia" w:ascii="宋体" w:hAnsi="宋体" w:eastAsia="宋体" w:cs="宋体"/>
                <w:sz w:val="24"/>
                <w:lang w:eastAsia="zh-CN"/>
              </w:rPr>
              <w:t>工</w:t>
            </w:r>
            <w:r>
              <w:rPr>
                <w:rFonts w:hint="eastAsia" w:ascii="宋体" w:hAnsi="宋体" w:eastAsia="宋体" w:cs="宋体"/>
                <w:sz w:val="24"/>
              </w:rPr>
              <w:t>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自动中心工具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管腔分析工具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11.2.15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自动割手术刀模式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CT 4D灌注软件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通用灌注分析参数</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自动分析血容量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自动分析血流量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自动分析平均通过时间</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自动分析毛细血管表面渗透性</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自动分析对比剂到达时间</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标准灌注模板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脑卒中灌注模板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脑肿瘤灌注模板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体部肿瘤灌注模板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11.3.2.5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软组织灌注模板</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全自动肺结节分析软件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全自动呼吸系统分析软件包</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全自动去骨软件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能谱容积分析平台</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全自动心脏分析软件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11.8.1</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冠状动脉树自动提取</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11.8.2</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冠状动脉名称自动标识</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11.8.3</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冠状动脉长度</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11.8.4</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冠脉横断面积测量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11.8.5</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冠脉狭窄度测量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11.8.6</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冠脉官腔体积测量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11.8.7</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冠脉平均直径测量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11.8.8</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冠状斑块彩色编码定性分析</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11.8.9</w:t>
            </w:r>
          </w:p>
        </w:tc>
        <w:tc>
          <w:tcPr>
            <w:tcW w:w="3385"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冠脉斑块体积定量分析</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心功能自动分析软件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冠脉钙化积分软件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全自动血管分析软件</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CTA一站式重建功能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自动血管循迹，提取和显示以及血管尺寸的测量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自动探查血管中轴</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管腔曲面重建成像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最佳纵轴重建成像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对操作者选定血管节段进行定性和定量分析</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通过全自动主动脉，髂动脉跟踪技术实现主动脉自动成像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11.11.8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对血栓进行自动检测和分析</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11.12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全自动结肠自动分析软件包</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能谱成像分析平台</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能谱肌腱韧带成像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能谱结石分析功能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能谱钙化斑块去除功能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能谱痛风分析功能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能谱肺结节分析功能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能谱肺栓塞分析功能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能谱骨密度测量功能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12.8</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能谱软组织类MR成像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12.9</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能谱甲状腺摄碘率定量分析功能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12.10</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能谱绿色尿路造影成像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能谱下肢静脉优化显像功能</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能谱胸水分析工具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能谱肝灌注分析工具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12.14</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能谱尘肺成像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12.15</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能谱肝脏含铁量成像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12.16</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能谱斑块成分成像</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12.17</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能谱放化疗疗效分析工具</w:t>
            </w:r>
          </w:p>
        </w:tc>
        <w:tc>
          <w:tcPr>
            <w:tcW w:w="1003" w:type="pct"/>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13</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第三方设备，包括但不局限于：</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13.1</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无线双筒高压注射器一套</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10"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13.2</w:t>
            </w:r>
          </w:p>
        </w:tc>
        <w:tc>
          <w:tcPr>
            <w:tcW w:w="3385"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医用铅衣、铅手套、铅围脖、铅帽、铅毯等防辐射用品一套</w:t>
            </w:r>
          </w:p>
        </w:tc>
        <w:tc>
          <w:tcPr>
            <w:tcW w:w="1003" w:type="pct"/>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eastAsia="宋体" w:cs="宋体"/>
                <w:sz w:val="24"/>
              </w:rPr>
            </w:pPr>
            <w:r>
              <w:rPr>
                <w:rFonts w:hint="eastAsia" w:ascii="宋体" w:hAnsi="宋体" w:eastAsia="宋体" w:cs="宋体"/>
                <w:sz w:val="24"/>
              </w:rPr>
              <w:t>具备</w:t>
            </w:r>
          </w:p>
        </w:tc>
      </w:tr>
    </w:tbl>
    <w:p>
      <w:pPr>
        <w:autoSpaceDE w:val="0"/>
        <w:autoSpaceDN w:val="0"/>
        <w:adjustRightInd w:val="0"/>
        <w:spacing w:line="300" w:lineRule="auto"/>
        <w:rPr>
          <w:rFonts w:ascii="宋体" w:hAnsi="宋体"/>
          <w:b/>
          <w:sz w:val="24"/>
        </w:rPr>
      </w:pPr>
    </w:p>
    <w:p>
      <w:pPr>
        <w:snapToGrid w:val="0"/>
        <w:spacing w:line="400" w:lineRule="atLeast"/>
        <w:rPr>
          <w:rFonts w:cs="宋体;SimSun" w:asciiTheme="majorEastAsia" w:hAnsiTheme="majorEastAsia" w:eastAsiaTheme="majorEastAsia"/>
          <w:b/>
          <w:bCs/>
          <w:sz w:val="24"/>
        </w:rPr>
      </w:pPr>
      <w:r>
        <w:rPr>
          <w:rFonts w:hint="eastAsia" w:cs="宋体;SimSun" w:asciiTheme="majorEastAsia" w:hAnsiTheme="majorEastAsia" w:eastAsiaTheme="majorEastAsia"/>
          <w:b/>
          <w:bCs/>
          <w:sz w:val="24"/>
        </w:rPr>
        <w:t>*合同包1：商务要求</w:t>
      </w:r>
    </w:p>
    <w:tbl>
      <w:tblPr>
        <w:tblStyle w:val="30"/>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9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1</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整机（含球管、探测器</w:t>
            </w:r>
            <w:r>
              <w:rPr>
                <w:rFonts w:hint="eastAsia" w:ascii="宋体" w:hAnsi="宋体" w:eastAsia="宋体" w:cs="宋体"/>
                <w:b/>
                <w:caps/>
                <w:sz w:val="24"/>
              </w:rPr>
              <w:t>以及所配置的第三方产品等</w:t>
            </w:r>
            <w:r>
              <w:rPr>
                <w:rFonts w:hint="eastAsia" w:ascii="宋体" w:hAnsi="宋体" w:eastAsia="宋体" w:cs="宋体"/>
                <w:sz w:val="24"/>
              </w:rPr>
              <w:t>）</w:t>
            </w:r>
            <w:r>
              <w:rPr>
                <w:rFonts w:hint="eastAsia" w:ascii="宋体" w:hAnsi="宋体" w:eastAsia="宋体" w:cs="宋体"/>
                <w:kern w:val="0"/>
                <w:sz w:val="24"/>
              </w:rPr>
              <w:t>免费维保≥2年</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2</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提供远程维修诊断系统</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3</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终身免费提供故障及维修代码</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4</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中国大陆应有备件库</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5</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福建省内有厂家固定维修驻点且省内维修工程师不少于两名，并提供相关证明材料</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6</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提供免费保修电话，提供400或800报修电话号码</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7</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提供技术培训，保证使用人员能够正确操作，能正确使用设备各种功能</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ascii="宋体" w:hAnsi="宋体" w:eastAsia="宋体" w:cs="宋体"/>
                <w:kern w:val="0"/>
                <w:sz w:val="24"/>
              </w:rPr>
            </w:pPr>
            <w:r>
              <w:rPr>
                <w:rFonts w:hint="eastAsia" w:ascii="宋体" w:hAnsi="宋体" w:eastAsia="宋体" w:cs="宋体"/>
                <w:kern w:val="0"/>
                <w:sz w:val="24"/>
              </w:rPr>
              <w:t>8</w:t>
            </w:r>
          </w:p>
        </w:tc>
        <w:tc>
          <w:tcPr>
            <w:tcW w:w="9243" w:type="dxa"/>
            <w:vAlign w:val="center"/>
          </w:tcPr>
          <w:p>
            <w:pPr>
              <w:autoSpaceDE w:val="0"/>
              <w:autoSpaceDN w:val="0"/>
              <w:adjustRightInd w:val="0"/>
              <w:spacing w:line="300" w:lineRule="auto"/>
              <w:jc w:val="left"/>
              <w:rPr>
                <w:rFonts w:hint="eastAsia" w:ascii="宋体" w:hAnsi="宋体" w:eastAsia="宋体" w:cs="宋体"/>
                <w:kern w:val="0"/>
                <w:sz w:val="24"/>
                <w:lang w:eastAsia="zh-CN"/>
              </w:rPr>
            </w:pPr>
            <w:r>
              <w:rPr>
                <w:rFonts w:hint="eastAsia" w:ascii="宋体" w:hAnsi="宋体" w:eastAsia="宋体" w:cs="宋体"/>
                <w:sz w:val="24"/>
              </w:rPr>
              <w:t>提供设备运行、安装、使用环境要求及指导</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pPr>
              <w:autoSpaceDE w:val="0"/>
              <w:autoSpaceDN w:val="0"/>
              <w:adjustRightInd w:val="0"/>
              <w:spacing w:line="300" w:lineRule="auto"/>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9</w:t>
            </w:r>
          </w:p>
        </w:tc>
        <w:tc>
          <w:tcPr>
            <w:tcW w:w="9243" w:type="dxa"/>
            <w:vAlign w:val="center"/>
          </w:tcPr>
          <w:p>
            <w:pPr>
              <w:autoSpaceDE w:val="0"/>
              <w:autoSpaceDN w:val="0"/>
              <w:adjustRightInd w:val="0"/>
              <w:spacing w:line="300" w:lineRule="auto"/>
              <w:jc w:val="left"/>
              <w:rPr>
                <w:rFonts w:hint="eastAsia" w:ascii="宋体" w:hAnsi="宋体" w:eastAsia="宋体" w:cs="宋体"/>
                <w:sz w:val="24"/>
                <w:highlight w:val="none"/>
              </w:rPr>
            </w:pPr>
            <w:r>
              <w:rPr>
                <w:rFonts w:hint="eastAsia" w:ascii="宋体" w:hAnsi="宋体" w:eastAsia="宋体" w:cs="宋体"/>
                <w:sz w:val="24"/>
                <w:szCs w:val="24"/>
                <w:highlight w:val="none"/>
                <w:lang w:val="en-US" w:eastAsia="zh-CN"/>
              </w:rPr>
              <w:t>若采购人或设备配置医院在项目验收环节要求中标人对所投产品提供</w:t>
            </w:r>
            <w:r>
              <w:rPr>
                <w:rFonts w:hint="eastAsia" w:ascii="宋体" w:hAnsi="宋体" w:eastAsia="宋体" w:cs="宋体"/>
                <w:b w:val="0"/>
                <w:bCs w:val="0"/>
                <w:sz w:val="24"/>
                <w:szCs w:val="24"/>
                <w:highlight w:val="none"/>
                <w:lang w:val="en-US" w:eastAsia="zh-CN"/>
              </w:rPr>
              <w:t>经第三方</w:t>
            </w:r>
            <w:r>
              <w:rPr>
                <w:rStyle w:val="33"/>
                <w:rFonts w:hint="eastAsia" w:ascii="宋体" w:hAnsi="宋体" w:eastAsia="宋体" w:cs="宋体"/>
                <w:b w:val="0"/>
                <w:bCs w:val="0"/>
                <w:sz w:val="24"/>
                <w:szCs w:val="24"/>
                <w:highlight w:val="none"/>
              </w:rPr>
              <w:t>检测机构出具的合法有效的检测报告</w:t>
            </w:r>
            <w:r>
              <w:rPr>
                <w:rFonts w:hint="eastAsia" w:ascii="宋体" w:hAnsi="宋体" w:eastAsia="宋体" w:cs="宋体"/>
                <w:b w:val="0"/>
                <w:bCs w:val="0"/>
                <w:sz w:val="24"/>
                <w:szCs w:val="24"/>
                <w:highlight w:val="none"/>
                <w:lang w:val="en-US" w:eastAsia="zh-CN"/>
              </w:rPr>
              <w:t>，中标人应免费提</w:t>
            </w:r>
            <w:r>
              <w:rPr>
                <w:rFonts w:hint="eastAsia" w:ascii="宋体" w:hAnsi="宋体" w:eastAsia="宋体" w:cs="宋体"/>
                <w:sz w:val="24"/>
                <w:szCs w:val="24"/>
                <w:highlight w:val="none"/>
                <w:lang w:val="en-US" w:eastAsia="zh-CN"/>
              </w:rPr>
              <w:t>供</w:t>
            </w:r>
            <w:r>
              <w:rPr>
                <w:rStyle w:val="33"/>
                <w:rFonts w:hint="eastAsia" w:ascii="宋体" w:hAnsi="宋体" w:eastAsia="宋体" w:cs="宋体"/>
                <w:sz w:val="24"/>
                <w:szCs w:val="24"/>
                <w:highlight w:val="none"/>
                <w:lang w:eastAsia="zh-CN"/>
              </w:rPr>
              <w:t>。</w:t>
            </w:r>
          </w:p>
        </w:tc>
      </w:tr>
    </w:tbl>
    <w:p>
      <w:pPr>
        <w:autoSpaceDE w:val="0"/>
        <w:autoSpaceDN w:val="0"/>
        <w:adjustRightInd w:val="0"/>
        <w:spacing w:line="300" w:lineRule="auto"/>
        <w:jc w:val="left"/>
        <w:rPr>
          <w:rFonts w:asciiTheme="majorEastAsia" w:hAnsiTheme="majorEastAsia" w:eastAsiaTheme="majorEastAsia"/>
          <w:kern w:val="0"/>
          <w:szCs w:val="21"/>
        </w:rPr>
      </w:pPr>
    </w:p>
    <w:p>
      <w:pPr>
        <w:adjustRightInd w:val="0"/>
        <w:snapToGrid w:val="0"/>
        <w:spacing w:line="400" w:lineRule="exact"/>
        <w:rPr>
          <w:rFonts w:asciiTheme="majorEastAsia" w:hAnsiTheme="majorEastAsia" w:eastAsiaTheme="majorEastAsia"/>
          <w:b/>
          <w:bCs/>
          <w:sz w:val="24"/>
          <w:szCs w:val="32"/>
        </w:rPr>
      </w:pPr>
      <w:r>
        <w:rPr>
          <w:rFonts w:hint="eastAsia" w:ascii="宋体" w:hAnsi="宋体" w:cs="宋体"/>
          <w:b/>
          <w:kern w:val="0"/>
          <w:sz w:val="24"/>
        </w:rPr>
        <w:t>合同包2：</w:t>
      </w:r>
      <w:r>
        <w:rPr>
          <w:rFonts w:hint="eastAsia" w:cs="宋体"/>
          <w:b/>
          <w:bCs/>
          <w:sz w:val="24"/>
        </w:rPr>
        <w:t>高端3.0T磁共振成像系统</w:t>
      </w:r>
    </w:p>
    <w:tbl>
      <w:tblPr>
        <w:tblStyle w:val="30"/>
        <w:tblW w:w="4998" w:type="pct"/>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420"/>
        <w:gridCol w:w="3020"/>
        <w:gridCol w:w="2429"/>
        <w:gridCol w:w="298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right w:val="single" w:color="auto" w:sz="4" w:space="0"/>
            </w:tcBorders>
            <w:vAlign w:val="center"/>
          </w:tcPr>
          <w:p>
            <w:pPr>
              <w:jc w:val="center"/>
              <w:rPr>
                <w:rFonts w:ascii="宋体" w:hAnsi="宋体" w:eastAsia="宋体" w:cs="宋体"/>
                <w:b/>
                <w:caps/>
                <w:sz w:val="24"/>
              </w:rPr>
            </w:pPr>
            <w:r>
              <w:rPr>
                <w:rFonts w:hint="eastAsia" w:ascii="宋体" w:hAnsi="宋体" w:eastAsia="宋体" w:cs="宋体"/>
                <w:b/>
                <w:caps/>
                <w:sz w:val="24"/>
              </w:rPr>
              <w:t>序号</w:t>
            </w:r>
          </w:p>
        </w:tc>
        <w:tc>
          <w:tcPr>
            <w:tcW w:w="1533" w:type="pct"/>
            <w:tcBorders>
              <w:top w:val="single" w:color="auto" w:sz="4" w:space="0"/>
              <w:left w:val="single" w:color="auto" w:sz="4" w:space="0"/>
              <w:right w:val="single" w:color="auto" w:sz="4" w:space="0"/>
            </w:tcBorders>
            <w:vAlign w:val="center"/>
          </w:tcPr>
          <w:p>
            <w:pPr>
              <w:jc w:val="center"/>
              <w:rPr>
                <w:rFonts w:ascii="宋体" w:hAnsi="宋体" w:eastAsia="宋体" w:cs="宋体"/>
                <w:b/>
                <w:caps/>
                <w:sz w:val="24"/>
              </w:rPr>
            </w:pPr>
            <w:r>
              <w:rPr>
                <w:rFonts w:hint="eastAsia" w:ascii="宋体" w:hAnsi="宋体" w:eastAsia="宋体" w:cs="宋体"/>
                <w:b/>
                <w:caps/>
                <w:sz w:val="24"/>
              </w:rPr>
              <w:t>技术参数</w:t>
            </w:r>
          </w:p>
        </w:tc>
        <w:tc>
          <w:tcPr>
            <w:tcW w:w="2745" w:type="pct"/>
            <w:gridSpan w:val="2"/>
            <w:tcBorders>
              <w:top w:val="single" w:color="auto" w:sz="4" w:space="0"/>
              <w:left w:val="single" w:color="auto" w:sz="4" w:space="0"/>
              <w:right w:val="single" w:color="auto" w:sz="4" w:space="0"/>
            </w:tcBorders>
            <w:vAlign w:val="center"/>
          </w:tcPr>
          <w:p>
            <w:pPr>
              <w:jc w:val="center"/>
              <w:rPr>
                <w:rFonts w:ascii="宋体" w:hAnsi="宋体" w:eastAsia="宋体" w:cs="宋体"/>
                <w:b/>
                <w:caps/>
                <w:sz w:val="24"/>
              </w:rPr>
            </w:pPr>
            <w:r>
              <w:rPr>
                <w:rFonts w:hint="eastAsia" w:ascii="宋体" w:hAnsi="宋体" w:eastAsia="宋体" w:cs="宋体"/>
                <w:b/>
                <w:caps/>
                <w:sz w:val="24"/>
              </w:rPr>
              <w:t>招标要求</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8" w:hRule="atLeast"/>
          <w:jc w:val="center"/>
        </w:trPr>
        <w:tc>
          <w:tcPr>
            <w:tcW w:w="721" w:type="pct"/>
            <w:tcBorders>
              <w:right w:val="single" w:color="auto" w:sz="4" w:space="0"/>
            </w:tcBorders>
            <w:vAlign w:val="center"/>
          </w:tcPr>
          <w:p>
            <w:pPr>
              <w:jc w:val="left"/>
              <w:rPr>
                <w:rFonts w:ascii="宋体" w:hAnsi="宋体" w:eastAsia="宋体" w:cs="宋体"/>
                <w:caps/>
                <w:sz w:val="24"/>
              </w:rPr>
            </w:pPr>
            <w:r>
              <w:rPr>
                <w:rFonts w:hint="eastAsia" w:ascii="宋体" w:hAnsi="宋体" w:eastAsia="宋体" w:cs="宋体"/>
                <w:b/>
                <w:sz w:val="24"/>
              </w:rPr>
              <w:t xml:space="preserve">* </w:t>
            </w:r>
            <w:r>
              <w:rPr>
                <w:rFonts w:hint="eastAsia" w:ascii="宋体" w:hAnsi="宋体" w:eastAsia="宋体" w:cs="宋体"/>
                <w:b/>
                <w:caps/>
                <w:sz w:val="24"/>
              </w:rPr>
              <w:t>1</w:t>
            </w:r>
          </w:p>
        </w:tc>
        <w:tc>
          <w:tcPr>
            <w:tcW w:w="4278" w:type="pct"/>
            <w:gridSpan w:val="3"/>
            <w:tcBorders>
              <w:left w:val="single" w:color="auto" w:sz="4" w:space="0"/>
              <w:right w:val="single" w:color="auto" w:sz="4" w:space="0"/>
            </w:tcBorders>
            <w:vAlign w:val="center"/>
          </w:tcPr>
          <w:p>
            <w:pPr>
              <w:jc w:val="left"/>
              <w:rPr>
                <w:rFonts w:ascii="宋体" w:hAnsi="宋体" w:eastAsia="宋体" w:cs="宋体"/>
                <w:caps/>
                <w:sz w:val="24"/>
              </w:rPr>
            </w:pPr>
            <w:r>
              <w:rPr>
                <w:rFonts w:hint="eastAsia" w:ascii="宋体" w:hAnsi="宋体" w:eastAsia="宋体" w:cs="宋体"/>
                <w:b/>
                <w:caps/>
                <w:sz w:val="24"/>
              </w:rPr>
              <w:t>总体要求</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139" w:hRule="atLeast"/>
          <w:jc w:val="center"/>
        </w:trPr>
        <w:tc>
          <w:tcPr>
            <w:tcW w:w="5000" w:type="pct"/>
            <w:gridSpan w:val="4"/>
            <w:tcBorders>
              <w:right w:val="single" w:color="auto" w:sz="4" w:space="0"/>
            </w:tcBorders>
            <w:vAlign w:val="center"/>
          </w:tcPr>
          <w:p>
            <w:pPr>
              <w:jc w:val="left"/>
              <w:rPr>
                <w:rFonts w:hint="eastAsia" w:ascii="宋体" w:hAnsi="宋体" w:eastAsia="宋体" w:cs="宋体"/>
                <w:b/>
                <w:caps/>
                <w:sz w:val="24"/>
                <w:lang w:eastAsia="zh-CN"/>
              </w:rPr>
            </w:pPr>
            <w:r>
              <w:rPr>
                <w:rFonts w:hint="eastAsia" w:ascii="宋体" w:hAnsi="宋体" w:eastAsia="宋体" w:cs="宋体"/>
                <w:b/>
                <w:caps/>
                <w:sz w:val="24"/>
              </w:rPr>
              <w:t>1.除对该技术参数偏离表所涉的技术要求外，所投设备经CFDA注册的所有后处理技术、线圈、序列及其他技术和配置</w:t>
            </w:r>
            <w:r>
              <w:rPr>
                <w:rFonts w:hint="eastAsia" w:ascii="宋体" w:hAnsi="宋体" w:eastAsia="宋体" w:cs="宋体"/>
                <w:b/>
                <w:kern w:val="0"/>
                <w:sz w:val="24"/>
              </w:rPr>
              <w:t>等除另有规定外</w:t>
            </w:r>
            <w:r>
              <w:rPr>
                <w:rFonts w:hint="eastAsia" w:ascii="宋体" w:hAnsi="宋体" w:eastAsia="宋体" w:cs="宋体"/>
                <w:b/>
                <w:caps/>
                <w:sz w:val="24"/>
              </w:rPr>
              <w:t>均应提供</w:t>
            </w:r>
            <w:r>
              <w:rPr>
                <w:rFonts w:hint="eastAsia" w:ascii="宋体" w:hAnsi="宋体" w:eastAsia="宋体" w:cs="宋体"/>
                <w:b/>
                <w:sz w:val="24"/>
              </w:rPr>
              <w:t>（提供技术白皮书）</w:t>
            </w:r>
            <w:r>
              <w:rPr>
                <w:rFonts w:hint="eastAsia" w:ascii="宋体" w:hAnsi="宋体" w:eastAsia="宋体" w:cs="宋体"/>
                <w:b/>
                <w:caps/>
                <w:sz w:val="24"/>
                <w:lang w:eastAsia="zh-CN"/>
              </w:rPr>
              <w:t>；</w:t>
            </w:r>
          </w:p>
          <w:p>
            <w:pPr>
              <w:jc w:val="left"/>
              <w:rPr>
                <w:rFonts w:hint="eastAsia" w:ascii="宋体" w:hAnsi="宋体" w:eastAsia="宋体" w:cs="宋体"/>
                <w:b/>
                <w:caps/>
                <w:sz w:val="24"/>
                <w:lang w:eastAsia="zh-CN"/>
              </w:rPr>
            </w:pPr>
            <w:r>
              <w:rPr>
                <w:rFonts w:hint="eastAsia" w:ascii="宋体" w:hAnsi="宋体" w:eastAsia="宋体" w:cs="宋体"/>
                <w:b/>
                <w:caps/>
                <w:sz w:val="24"/>
              </w:rPr>
              <w:t>2.</w:t>
            </w:r>
            <w:r>
              <w:rPr>
                <w:rFonts w:hint="eastAsia" w:ascii="宋体" w:hAnsi="宋体" w:eastAsia="宋体" w:cs="宋体"/>
                <w:b/>
                <w:kern w:val="0"/>
                <w:sz w:val="24"/>
              </w:rPr>
              <w:t xml:space="preserve"> 整机</w:t>
            </w:r>
            <w:r>
              <w:rPr>
                <w:rFonts w:hint="eastAsia" w:ascii="宋体" w:hAnsi="宋体" w:eastAsia="宋体" w:cs="宋体"/>
                <w:b/>
                <w:caps/>
                <w:sz w:val="24"/>
              </w:rPr>
              <w:t>（含磁体、线圈、液氦以及所配置的第三方产品等）</w:t>
            </w:r>
            <w:r>
              <w:rPr>
                <w:rFonts w:hint="eastAsia" w:ascii="宋体" w:hAnsi="宋体" w:eastAsia="宋体" w:cs="宋体"/>
                <w:b/>
                <w:kern w:val="0"/>
                <w:sz w:val="24"/>
              </w:rPr>
              <w:t>免费维保≥2年</w:t>
            </w:r>
            <w:r>
              <w:rPr>
                <w:rFonts w:hint="eastAsia" w:ascii="宋体" w:hAnsi="宋体" w:eastAsia="宋体" w:cs="宋体"/>
                <w:b/>
                <w:kern w:val="0"/>
                <w:sz w:val="24"/>
                <w:lang w:eastAsia="zh-CN"/>
              </w:rPr>
              <w:t>；</w:t>
            </w:r>
          </w:p>
          <w:p>
            <w:pPr>
              <w:jc w:val="left"/>
              <w:rPr>
                <w:rFonts w:hint="eastAsia" w:ascii="宋体" w:hAnsi="宋体" w:eastAsia="宋体" w:cs="宋体"/>
                <w:b/>
                <w:caps/>
                <w:sz w:val="24"/>
                <w:highlight w:val="none"/>
                <w:lang w:eastAsia="zh-CN"/>
              </w:rPr>
            </w:pPr>
            <w:r>
              <w:rPr>
                <w:rFonts w:hint="eastAsia" w:ascii="宋体" w:hAnsi="宋体" w:eastAsia="宋体" w:cs="宋体"/>
                <w:b/>
                <w:caps/>
                <w:sz w:val="24"/>
              </w:rPr>
              <w:t>3.维保期结束后应承诺原厂整机维保（含磁体、线圈、液氦以及所配置的第三方产品等）的年维保费原则上不得高于中标价的5%，提供承诺函并根据各家医院实际需求与中标商自行协商,但须按照相关法律法规</w:t>
            </w:r>
            <w:r>
              <w:rPr>
                <w:rFonts w:hint="eastAsia" w:ascii="宋体" w:hAnsi="宋体" w:eastAsia="宋体" w:cs="宋体"/>
                <w:b/>
                <w:caps/>
                <w:sz w:val="24"/>
                <w:highlight w:val="none"/>
              </w:rPr>
              <w:t>及流程执行</w:t>
            </w:r>
            <w:r>
              <w:rPr>
                <w:rFonts w:hint="eastAsia" w:ascii="宋体" w:hAnsi="宋体" w:eastAsia="宋体" w:cs="宋体"/>
                <w:b/>
                <w:caps/>
                <w:sz w:val="24"/>
                <w:highlight w:val="none"/>
                <w:lang w:eastAsia="zh-CN"/>
              </w:rPr>
              <w:t>；</w:t>
            </w:r>
          </w:p>
          <w:p>
            <w:pPr>
              <w:widowControl/>
              <w:adjustRightInd w:val="0"/>
              <w:snapToGrid w:val="0"/>
              <w:spacing w:line="300" w:lineRule="auto"/>
              <w:jc w:val="left"/>
              <w:rPr>
                <w:rFonts w:ascii="宋体" w:hAnsi="宋体" w:eastAsia="宋体" w:cs="宋体"/>
                <w:b/>
                <w:bCs/>
                <w:kern w:val="0"/>
                <w:sz w:val="24"/>
              </w:rPr>
            </w:pPr>
            <w:r>
              <w:rPr>
                <w:rFonts w:hint="eastAsia" w:ascii="宋体" w:hAnsi="宋体" w:eastAsia="宋体" w:cs="宋体"/>
                <w:b/>
                <w:bCs/>
                <w:kern w:val="0"/>
                <w:sz w:val="24"/>
                <w:highlight w:val="none"/>
                <w:lang w:val="en-US" w:eastAsia="zh-CN"/>
              </w:rPr>
              <w:t>4</w:t>
            </w:r>
            <w:r>
              <w:rPr>
                <w:rFonts w:hint="eastAsia" w:ascii="宋体" w:hAnsi="宋体" w:eastAsia="宋体" w:cs="宋体"/>
                <w:b/>
                <w:bCs/>
                <w:kern w:val="0"/>
                <w:sz w:val="24"/>
                <w:highlight w:val="none"/>
              </w:rPr>
              <w:t>.须提供</w:t>
            </w:r>
            <w:r>
              <w:rPr>
                <w:rStyle w:val="33"/>
                <w:rFonts w:hint="eastAsia" w:ascii="宋体" w:hAnsi="宋体" w:eastAsia="宋体" w:cs="宋体"/>
                <w:sz w:val="24"/>
                <w:szCs w:val="24"/>
                <w:highlight w:val="none"/>
              </w:rPr>
              <w:t>最新的原厂Data Sheet技术资料（技术白皮书）</w:t>
            </w:r>
            <w:r>
              <w:rPr>
                <w:rFonts w:hint="eastAsia" w:ascii="宋体" w:hAnsi="宋体" w:eastAsia="宋体" w:cs="宋体"/>
                <w:b/>
                <w:bCs/>
                <w:kern w:val="0"/>
                <w:sz w:val="24"/>
                <w:highlight w:val="none"/>
              </w:rPr>
              <w:t>或权威检测机构出具的</w:t>
            </w:r>
            <w:r>
              <w:rPr>
                <w:rStyle w:val="33"/>
                <w:rFonts w:hint="eastAsia" w:ascii="宋体" w:hAnsi="宋体" w:eastAsia="宋体" w:cs="宋体"/>
                <w:sz w:val="24"/>
                <w:szCs w:val="24"/>
                <w:highlight w:val="none"/>
              </w:rPr>
              <w:t>合法有效的</w:t>
            </w:r>
            <w:r>
              <w:rPr>
                <w:rFonts w:hint="eastAsia" w:ascii="宋体" w:hAnsi="宋体" w:eastAsia="宋体" w:cs="宋体"/>
                <w:b/>
                <w:bCs/>
                <w:kern w:val="0"/>
                <w:sz w:val="24"/>
                <w:highlight w:val="none"/>
              </w:rPr>
              <w:t>检测报告复印件并加盖制造商公章佐证技术参数。</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5"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2</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磁体系统</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磁体类型</w:t>
            </w:r>
          </w:p>
        </w:tc>
        <w:tc>
          <w:tcPr>
            <w:tcW w:w="1511" w:type="pct"/>
            <w:vAlign w:val="center"/>
          </w:tcPr>
          <w:p>
            <w:pPr>
              <w:jc w:val="left"/>
              <w:rPr>
                <w:rFonts w:ascii="宋体" w:hAnsi="宋体" w:eastAsia="宋体" w:cs="宋体"/>
                <w:sz w:val="24"/>
              </w:rPr>
            </w:pPr>
            <w:r>
              <w:rPr>
                <w:rFonts w:hint="eastAsia" w:ascii="宋体" w:hAnsi="宋体" w:eastAsia="宋体" w:cs="宋体"/>
                <w:sz w:val="24"/>
              </w:rPr>
              <w:t>超导磁体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磁场强度</w:t>
            </w:r>
          </w:p>
        </w:tc>
        <w:tc>
          <w:tcPr>
            <w:tcW w:w="1511" w:type="pct"/>
            <w:vAlign w:val="center"/>
          </w:tcPr>
          <w:p>
            <w:pPr>
              <w:jc w:val="left"/>
              <w:rPr>
                <w:rFonts w:ascii="宋体" w:hAnsi="宋体" w:eastAsia="宋体" w:cs="宋体"/>
                <w:sz w:val="24"/>
              </w:rPr>
            </w:pPr>
            <w:r>
              <w:rPr>
                <w:rFonts w:hint="eastAsia" w:ascii="宋体" w:hAnsi="宋体" w:eastAsia="宋体" w:cs="宋体"/>
                <w:sz w:val="24"/>
              </w:rPr>
              <w:t>3.0T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0"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屏蔽方式</w:t>
            </w:r>
          </w:p>
        </w:tc>
        <w:tc>
          <w:tcPr>
            <w:tcW w:w="1511" w:type="pct"/>
            <w:vAlign w:val="center"/>
          </w:tcPr>
          <w:p>
            <w:pPr>
              <w:jc w:val="left"/>
              <w:rPr>
                <w:rFonts w:ascii="宋体" w:hAnsi="宋体" w:eastAsia="宋体" w:cs="宋体"/>
                <w:sz w:val="24"/>
              </w:rPr>
            </w:pPr>
            <w:r>
              <w:rPr>
                <w:rFonts w:hint="eastAsia" w:ascii="宋体" w:hAnsi="宋体" w:eastAsia="宋体" w:cs="宋体"/>
                <w:sz w:val="24"/>
              </w:rPr>
              <w:t>主动屏蔽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0"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抗外界电磁干扰屏蔽技术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匀场方式</w:t>
            </w:r>
          </w:p>
        </w:tc>
        <w:tc>
          <w:tcPr>
            <w:tcW w:w="1511" w:type="pct"/>
            <w:vAlign w:val="center"/>
          </w:tcPr>
          <w:p>
            <w:pPr>
              <w:jc w:val="left"/>
              <w:rPr>
                <w:rFonts w:ascii="宋体" w:hAnsi="宋体" w:eastAsia="宋体" w:cs="宋体"/>
                <w:sz w:val="24"/>
              </w:rPr>
            </w:pPr>
            <w:r>
              <w:rPr>
                <w:rFonts w:hint="eastAsia" w:ascii="宋体" w:hAnsi="宋体" w:eastAsia="宋体" w:cs="宋体"/>
                <w:sz w:val="24"/>
              </w:rPr>
              <w:t>主动+被动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磁场稳定度</w:t>
            </w:r>
          </w:p>
        </w:tc>
        <w:tc>
          <w:tcPr>
            <w:tcW w:w="1511" w:type="pct"/>
            <w:vAlign w:val="center"/>
          </w:tcPr>
          <w:p>
            <w:pPr>
              <w:rPr>
                <w:rFonts w:ascii="宋体" w:hAnsi="宋体" w:eastAsia="宋体" w:cs="宋体"/>
                <w:sz w:val="24"/>
              </w:rPr>
            </w:pPr>
            <w:r>
              <w:rPr>
                <w:rFonts w:hint="eastAsia" w:ascii="宋体" w:hAnsi="宋体" w:eastAsia="宋体" w:cs="宋体"/>
                <w:sz w:val="24"/>
              </w:rPr>
              <w:t>&lt;0.1ppm/hour</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三维动态匀场</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三维匀场容积空间</w:t>
            </w:r>
          </w:p>
        </w:tc>
        <w:tc>
          <w:tcPr>
            <w:tcW w:w="1511" w:type="pct"/>
            <w:vAlign w:val="center"/>
          </w:tcPr>
          <w:p>
            <w:pPr>
              <w:jc w:val="left"/>
              <w:rPr>
                <w:rFonts w:ascii="宋体" w:hAnsi="宋体" w:eastAsia="宋体" w:cs="宋体"/>
                <w:sz w:val="24"/>
              </w:rPr>
            </w:pPr>
            <w:r>
              <w:rPr>
                <w:rFonts w:hint="eastAsia" w:ascii="宋体" w:hAnsi="宋体" w:eastAsia="宋体" w:cs="宋体"/>
                <w:sz w:val="24"/>
              </w:rPr>
              <w:t>圆柱形</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匀场通道数</w:t>
            </w:r>
          </w:p>
        </w:tc>
        <w:tc>
          <w:tcPr>
            <w:tcW w:w="1511" w:type="pct"/>
            <w:vAlign w:val="center"/>
          </w:tcPr>
          <w:p>
            <w:pPr>
              <w:jc w:val="left"/>
              <w:rPr>
                <w:rFonts w:ascii="宋体" w:hAnsi="宋体" w:eastAsia="宋体" w:cs="宋体"/>
                <w:sz w:val="24"/>
              </w:rPr>
            </w:pPr>
            <w:r>
              <w:rPr>
                <w:rFonts w:hint="eastAsia" w:ascii="宋体" w:hAnsi="宋体" w:eastAsia="宋体" w:cs="宋体"/>
                <w:sz w:val="24"/>
              </w:rPr>
              <w:t>≥8个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2.9.1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线性匀场（一阶匀场）通道数</w:t>
            </w:r>
          </w:p>
        </w:tc>
        <w:tc>
          <w:tcPr>
            <w:tcW w:w="1511" w:type="pct"/>
            <w:vAlign w:val="center"/>
          </w:tcPr>
          <w:p>
            <w:pPr>
              <w:jc w:val="left"/>
              <w:rPr>
                <w:rFonts w:ascii="宋体" w:hAnsi="宋体" w:eastAsia="宋体" w:cs="宋体"/>
                <w:sz w:val="24"/>
              </w:rPr>
            </w:pPr>
            <w:r>
              <w:rPr>
                <w:rFonts w:hint="eastAsia" w:ascii="宋体" w:hAnsi="宋体" w:eastAsia="宋体" w:cs="宋体"/>
                <w:sz w:val="24"/>
              </w:rPr>
              <w:t>≥3个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10cm DSV</w:t>
            </w:r>
          </w:p>
        </w:tc>
        <w:tc>
          <w:tcPr>
            <w:tcW w:w="1511" w:type="pct"/>
            <w:vAlign w:val="center"/>
          </w:tcPr>
          <w:p>
            <w:pPr>
              <w:jc w:val="left"/>
              <w:rPr>
                <w:rFonts w:ascii="宋体" w:hAnsi="宋体" w:eastAsia="宋体" w:cs="宋体"/>
                <w:sz w:val="24"/>
              </w:rPr>
            </w:pPr>
            <w:r>
              <w:rPr>
                <w:rFonts w:hint="eastAsia" w:ascii="宋体" w:hAnsi="宋体" w:eastAsia="宋体" w:cs="宋体"/>
                <w:sz w:val="24"/>
              </w:rPr>
              <w:t>≤0.003ppm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20cm DSV</w:t>
            </w:r>
          </w:p>
        </w:tc>
        <w:tc>
          <w:tcPr>
            <w:tcW w:w="1511" w:type="pct"/>
            <w:vAlign w:val="center"/>
          </w:tcPr>
          <w:p>
            <w:pPr>
              <w:jc w:val="left"/>
              <w:rPr>
                <w:rFonts w:ascii="宋体" w:hAnsi="宋体" w:eastAsia="宋体" w:cs="宋体"/>
                <w:sz w:val="24"/>
              </w:rPr>
            </w:pPr>
            <w:r>
              <w:rPr>
                <w:rFonts w:hint="eastAsia" w:ascii="宋体" w:hAnsi="宋体" w:eastAsia="宋体" w:cs="宋体"/>
                <w:sz w:val="24"/>
              </w:rPr>
              <w:t>≤0.03ppm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30cm DSV</w:t>
            </w:r>
          </w:p>
        </w:tc>
        <w:tc>
          <w:tcPr>
            <w:tcW w:w="1511" w:type="pct"/>
            <w:vAlign w:val="center"/>
          </w:tcPr>
          <w:p>
            <w:pPr>
              <w:jc w:val="left"/>
              <w:rPr>
                <w:rFonts w:ascii="宋体" w:hAnsi="宋体" w:eastAsia="宋体" w:cs="宋体"/>
                <w:sz w:val="24"/>
              </w:rPr>
            </w:pPr>
            <w:r>
              <w:rPr>
                <w:rFonts w:hint="eastAsia" w:ascii="宋体" w:hAnsi="宋体" w:eastAsia="宋体" w:cs="宋体"/>
                <w:sz w:val="24"/>
              </w:rPr>
              <w:t>≤0.15ppm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2.13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40cm DSV</w:t>
            </w:r>
          </w:p>
        </w:tc>
        <w:tc>
          <w:tcPr>
            <w:tcW w:w="1511" w:type="pct"/>
            <w:vAlign w:val="center"/>
          </w:tcPr>
          <w:p>
            <w:pPr>
              <w:jc w:val="left"/>
              <w:rPr>
                <w:rFonts w:ascii="宋体" w:hAnsi="宋体" w:eastAsia="宋体" w:cs="宋体"/>
                <w:sz w:val="24"/>
              </w:rPr>
            </w:pPr>
            <w:r>
              <w:rPr>
                <w:rFonts w:hint="eastAsia" w:ascii="宋体" w:hAnsi="宋体" w:eastAsia="宋体" w:cs="宋体"/>
                <w:sz w:val="24"/>
              </w:rPr>
              <w:t>≤0.6ppm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液氦填充周期</w:t>
            </w:r>
          </w:p>
        </w:tc>
        <w:tc>
          <w:tcPr>
            <w:tcW w:w="1511" w:type="pct"/>
            <w:vAlign w:val="center"/>
          </w:tcPr>
          <w:p>
            <w:pPr>
              <w:jc w:val="left"/>
              <w:rPr>
                <w:rFonts w:ascii="宋体" w:hAnsi="宋体" w:eastAsia="宋体" w:cs="宋体"/>
                <w:sz w:val="24"/>
              </w:rPr>
            </w:pPr>
            <w:r>
              <w:rPr>
                <w:rFonts w:hint="eastAsia" w:ascii="宋体" w:hAnsi="宋体" w:eastAsia="宋体" w:cs="宋体"/>
                <w:sz w:val="24"/>
              </w:rPr>
              <w:t>≥5年</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液氦消耗量(正常使用)</w:t>
            </w:r>
          </w:p>
        </w:tc>
        <w:tc>
          <w:tcPr>
            <w:tcW w:w="1511" w:type="pct"/>
            <w:vAlign w:val="center"/>
          </w:tcPr>
          <w:p>
            <w:pPr>
              <w:jc w:val="left"/>
              <w:rPr>
                <w:rFonts w:ascii="宋体" w:hAnsi="宋体" w:eastAsia="宋体" w:cs="宋体"/>
                <w:sz w:val="24"/>
              </w:rPr>
            </w:pPr>
            <w:r>
              <w:rPr>
                <w:rFonts w:hint="eastAsia" w:ascii="宋体" w:hAnsi="宋体" w:eastAsia="宋体" w:cs="宋体"/>
                <w:sz w:val="24"/>
              </w:rPr>
              <w:t>零消耗</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磁体长度（不含外壳）</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≥163 cm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磁体最小孔径</w:t>
            </w:r>
          </w:p>
        </w:tc>
        <w:tc>
          <w:tcPr>
            <w:tcW w:w="1511" w:type="pct"/>
            <w:vAlign w:val="center"/>
          </w:tcPr>
          <w:p>
            <w:pPr>
              <w:jc w:val="left"/>
              <w:rPr>
                <w:rFonts w:ascii="宋体" w:hAnsi="宋体" w:eastAsia="宋体" w:cs="宋体"/>
                <w:sz w:val="24"/>
              </w:rPr>
            </w:pPr>
            <w:r>
              <w:rPr>
                <w:rFonts w:hint="eastAsia" w:ascii="宋体" w:hAnsi="宋体" w:eastAsia="宋体" w:cs="宋体"/>
                <w:sz w:val="24"/>
              </w:rPr>
              <w:t>≥70 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五高斯磁力线X、Y轴</w:t>
            </w:r>
          </w:p>
        </w:tc>
        <w:tc>
          <w:tcPr>
            <w:tcW w:w="1511" w:type="pct"/>
            <w:vAlign w:val="center"/>
          </w:tcPr>
          <w:p>
            <w:pPr>
              <w:rPr>
                <w:rFonts w:ascii="宋体" w:hAnsi="宋体" w:eastAsia="宋体" w:cs="宋体"/>
                <w:sz w:val="24"/>
              </w:rPr>
            </w:pPr>
            <w:r>
              <w:rPr>
                <w:rFonts w:hint="eastAsia" w:ascii="宋体" w:hAnsi="宋体" w:eastAsia="宋体" w:cs="宋体"/>
                <w:sz w:val="24"/>
              </w:rPr>
              <w:t>≤3.0m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2.19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五高斯磁力线Z 轴</w:t>
            </w:r>
          </w:p>
        </w:tc>
        <w:tc>
          <w:tcPr>
            <w:tcW w:w="1511" w:type="pct"/>
            <w:vAlign w:val="center"/>
          </w:tcPr>
          <w:p>
            <w:pPr>
              <w:rPr>
                <w:rFonts w:ascii="宋体" w:hAnsi="宋体" w:eastAsia="宋体" w:cs="宋体"/>
                <w:sz w:val="24"/>
              </w:rPr>
            </w:pPr>
            <w:r>
              <w:rPr>
                <w:rFonts w:hint="eastAsia" w:ascii="宋体" w:hAnsi="宋体" w:eastAsia="宋体" w:cs="宋体"/>
                <w:sz w:val="24"/>
              </w:rPr>
              <w:t>≤5.0m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2.20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一高斯磁力线X、Y轴</w:t>
            </w:r>
          </w:p>
        </w:tc>
        <w:tc>
          <w:tcPr>
            <w:tcW w:w="1511" w:type="pct"/>
            <w:vAlign w:val="center"/>
          </w:tcPr>
          <w:p>
            <w:pPr>
              <w:jc w:val="left"/>
              <w:rPr>
                <w:rFonts w:ascii="宋体" w:hAnsi="宋体" w:eastAsia="宋体" w:cs="宋体"/>
                <w:sz w:val="24"/>
              </w:rPr>
            </w:pPr>
            <w:r>
              <w:rPr>
                <w:rFonts w:hint="eastAsia" w:ascii="宋体" w:hAnsi="宋体" w:eastAsia="宋体" w:cs="宋体"/>
                <w:sz w:val="24"/>
              </w:rPr>
              <w:t>≤4.8m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一高斯磁力线Z 轴</w:t>
            </w:r>
          </w:p>
        </w:tc>
        <w:tc>
          <w:tcPr>
            <w:tcW w:w="1511" w:type="pct"/>
            <w:vAlign w:val="center"/>
          </w:tcPr>
          <w:p>
            <w:pPr>
              <w:jc w:val="left"/>
              <w:rPr>
                <w:rFonts w:ascii="宋体" w:hAnsi="宋体" w:eastAsia="宋体" w:cs="宋体"/>
                <w:sz w:val="24"/>
              </w:rPr>
            </w:pPr>
            <w:r>
              <w:rPr>
                <w:rFonts w:hint="eastAsia" w:ascii="宋体" w:hAnsi="宋体" w:eastAsia="宋体" w:cs="宋体"/>
                <w:sz w:val="24"/>
              </w:rPr>
              <w:t>≤7.9m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磁体重量(含液氦)</w:t>
            </w:r>
          </w:p>
        </w:tc>
        <w:tc>
          <w:tcPr>
            <w:tcW w:w="1511" w:type="pct"/>
            <w:vAlign w:val="center"/>
          </w:tcPr>
          <w:p>
            <w:pPr>
              <w:jc w:val="left"/>
              <w:rPr>
                <w:rFonts w:ascii="宋体" w:hAnsi="宋体" w:eastAsia="宋体" w:cs="宋体"/>
                <w:sz w:val="24"/>
              </w:rPr>
            </w:pPr>
            <w:r>
              <w:rPr>
                <w:rFonts w:hint="eastAsia" w:ascii="宋体" w:hAnsi="宋体" w:eastAsia="宋体" w:cs="宋体"/>
                <w:sz w:val="24"/>
              </w:rPr>
              <w:t>≥6000kg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2.23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 xml:space="preserve">液氦容量 </w:t>
            </w:r>
          </w:p>
        </w:tc>
        <w:tc>
          <w:tcPr>
            <w:tcW w:w="1511" w:type="pct"/>
            <w:vAlign w:val="center"/>
          </w:tcPr>
          <w:p>
            <w:pPr>
              <w:jc w:val="left"/>
              <w:rPr>
                <w:rFonts w:ascii="宋体" w:hAnsi="宋体" w:eastAsia="宋体" w:cs="宋体"/>
                <w:sz w:val="24"/>
              </w:rPr>
            </w:pPr>
            <w:r>
              <w:rPr>
                <w:rFonts w:hint="eastAsia" w:ascii="宋体" w:hAnsi="宋体" w:eastAsia="宋体" w:cs="宋体"/>
                <w:sz w:val="24"/>
              </w:rPr>
              <w:t>≥920L</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3</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梯度系统</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3.1</w:t>
            </w:r>
          </w:p>
        </w:tc>
        <w:tc>
          <w:tcPr>
            <w:tcW w:w="2766"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梯度线圈冷却方式：中空内冷，实心外冷或水冷</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3.2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梯度场强（X、Y、Z轴，非有效值）</w:t>
            </w:r>
          </w:p>
        </w:tc>
        <w:tc>
          <w:tcPr>
            <w:tcW w:w="1511" w:type="pct"/>
            <w:vAlign w:val="center"/>
          </w:tcPr>
          <w:p>
            <w:pPr>
              <w:jc w:val="left"/>
              <w:rPr>
                <w:rFonts w:ascii="宋体" w:hAnsi="宋体" w:eastAsia="宋体" w:cs="宋体"/>
                <w:sz w:val="24"/>
                <w:lang w:val="de-DE"/>
              </w:rPr>
            </w:pPr>
            <w:r>
              <w:rPr>
                <w:rFonts w:hint="eastAsia" w:ascii="宋体" w:hAnsi="宋体" w:eastAsia="宋体" w:cs="宋体"/>
                <w:sz w:val="24"/>
              </w:rPr>
              <w:t>≥</w:t>
            </w:r>
            <w:r>
              <w:rPr>
                <w:rFonts w:hint="eastAsia" w:ascii="宋体" w:hAnsi="宋体" w:eastAsia="宋体" w:cs="宋体"/>
                <w:sz w:val="24"/>
                <w:lang w:val="de-DE"/>
              </w:rPr>
              <w:t xml:space="preserve">44mT/m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52" w:hRule="atLeast"/>
          <w:jc w:val="center"/>
        </w:trPr>
        <w:tc>
          <w:tcPr>
            <w:tcW w:w="721" w:type="pct"/>
            <w:vAlign w:val="center"/>
          </w:tcPr>
          <w:p>
            <w:pPr>
              <w:jc w:val="left"/>
              <w:rPr>
                <w:rFonts w:ascii="宋体" w:hAnsi="宋体" w:eastAsia="宋体" w:cs="宋体"/>
                <w:sz w:val="24"/>
                <w:lang w:val="de-DE"/>
              </w:rPr>
            </w:pPr>
            <w:r>
              <w:rPr>
                <w:rFonts w:hint="eastAsia" w:ascii="宋体" w:hAnsi="宋体" w:eastAsia="宋体" w:cs="宋体"/>
                <w:sz w:val="24"/>
                <w:lang w:val="de-DE"/>
              </w:rPr>
              <w:t>3.3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梯度切换率（X、Y、Z轴，非有效值）</w:t>
            </w:r>
          </w:p>
        </w:tc>
        <w:tc>
          <w:tcPr>
            <w:tcW w:w="1511" w:type="pct"/>
            <w:vAlign w:val="center"/>
          </w:tcPr>
          <w:p>
            <w:pPr>
              <w:jc w:val="left"/>
              <w:rPr>
                <w:rFonts w:ascii="宋体" w:hAnsi="宋体" w:eastAsia="宋体" w:cs="宋体"/>
                <w:sz w:val="24"/>
                <w:lang w:val="de-DE"/>
              </w:rPr>
            </w:pPr>
            <w:r>
              <w:rPr>
                <w:rFonts w:hint="eastAsia" w:ascii="宋体" w:hAnsi="宋体" w:eastAsia="宋体" w:cs="宋体"/>
                <w:sz w:val="24"/>
              </w:rPr>
              <w:t>≥200 T</w:t>
            </w:r>
            <w:r>
              <w:rPr>
                <w:rFonts w:hint="eastAsia" w:ascii="宋体" w:hAnsi="宋体" w:eastAsia="宋体" w:cs="宋体"/>
                <w:sz w:val="24"/>
                <w:lang w:val="de-DE"/>
              </w:rPr>
              <w:t xml:space="preserve">/m/s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3.4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最短爬升时间</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≤0.4ms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3.5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最大场强和切换率同时到达</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工作周期中的最大占空比</w:t>
            </w:r>
          </w:p>
        </w:tc>
        <w:tc>
          <w:tcPr>
            <w:tcW w:w="1511" w:type="pct"/>
            <w:vAlign w:val="center"/>
          </w:tcPr>
          <w:p>
            <w:pPr>
              <w:jc w:val="left"/>
              <w:rPr>
                <w:rFonts w:ascii="宋体" w:hAnsi="宋体" w:eastAsia="宋体" w:cs="宋体"/>
                <w:sz w:val="24"/>
              </w:rPr>
            </w:pPr>
            <w:r>
              <w:rPr>
                <w:rFonts w:hint="eastAsia" w:ascii="宋体" w:hAnsi="宋体" w:eastAsia="宋体" w:cs="宋体"/>
                <w:sz w:val="24"/>
              </w:rPr>
              <w:t>100%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梯度放大器最大电压</w:t>
            </w:r>
          </w:p>
        </w:tc>
        <w:tc>
          <w:tcPr>
            <w:tcW w:w="1511" w:type="pct"/>
            <w:vAlign w:val="center"/>
          </w:tcPr>
          <w:p>
            <w:pPr>
              <w:jc w:val="left"/>
              <w:rPr>
                <w:rFonts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de-DE"/>
              </w:rPr>
              <w:t xml:space="preserve">2200V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梯度放大器最大电流</w:t>
            </w:r>
          </w:p>
        </w:tc>
        <w:tc>
          <w:tcPr>
            <w:tcW w:w="1511" w:type="pct"/>
            <w:vAlign w:val="center"/>
          </w:tcPr>
          <w:p>
            <w:pPr>
              <w:jc w:val="left"/>
              <w:rPr>
                <w:rFonts w:ascii="宋体" w:hAnsi="宋体" w:eastAsia="宋体" w:cs="宋体"/>
                <w:sz w:val="24"/>
              </w:rPr>
            </w:pPr>
            <w:r>
              <w:rPr>
                <w:rFonts w:hint="eastAsia" w:ascii="宋体" w:hAnsi="宋体" w:eastAsia="宋体" w:cs="宋体"/>
                <w:sz w:val="24"/>
              </w:rPr>
              <w:t>≥830A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梯度线圈冷却</w:t>
            </w:r>
          </w:p>
        </w:tc>
        <w:tc>
          <w:tcPr>
            <w:tcW w:w="1511" w:type="pct"/>
            <w:vAlign w:val="center"/>
          </w:tcPr>
          <w:p>
            <w:pPr>
              <w:jc w:val="left"/>
              <w:rPr>
                <w:rFonts w:ascii="宋体" w:hAnsi="宋体" w:eastAsia="宋体" w:cs="宋体"/>
                <w:sz w:val="24"/>
              </w:rPr>
            </w:pPr>
            <w:r>
              <w:rPr>
                <w:rFonts w:hint="eastAsia" w:ascii="宋体" w:hAnsi="宋体" w:eastAsia="宋体" w:cs="宋体"/>
                <w:sz w:val="24"/>
              </w:rPr>
              <w:t>水冷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梯度放大器冷却</w:t>
            </w:r>
          </w:p>
        </w:tc>
        <w:tc>
          <w:tcPr>
            <w:tcW w:w="1511" w:type="pct"/>
            <w:vAlign w:val="center"/>
          </w:tcPr>
          <w:p>
            <w:pPr>
              <w:jc w:val="left"/>
              <w:rPr>
                <w:rFonts w:ascii="宋体" w:hAnsi="宋体" w:eastAsia="宋体" w:cs="宋体"/>
                <w:sz w:val="24"/>
              </w:rPr>
            </w:pPr>
            <w:r>
              <w:rPr>
                <w:rFonts w:hint="eastAsia" w:ascii="宋体" w:hAnsi="宋体" w:eastAsia="宋体" w:cs="宋体"/>
                <w:sz w:val="24"/>
              </w:rPr>
              <w:t>水冷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梯度控制技术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全数字实时发射接收,三维自校准梯度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3.12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梯度工作方式</w:t>
            </w:r>
          </w:p>
        </w:tc>
        <w:tc>
          <w:tcPr>
            <w:tcW w:w="1511" w:type="pct"/>
            <w:vAlign w:val="center"/>
          </w:tcPr>
          <w:p>
            <w:pPr>
              <w:jc w:val="left"/>
              <w:rPr>
                <w:rFonts w:ascii="宋体" w:hAnsi="宋体" w:eastAsia="宋体" w:cs="宋体"/>
                <w:sz w:val="24"/>
              </w:rPr>
            </w:pPr>
            <w:r>
              <w:rPr>
                <w:rFonts w:hint="eastAsia" w:ascii="宋体" w:hAnsi="宋体" w:eastAsia="宋体" w:cs="宋体"/>
                <w:sz w:val="24"/>
              </w:rPr>
              <w:t>非共振式</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4</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射频系统</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4.1</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射频类型</w:t>
            </w:r>
          </w:p>
        </w:tc>
        <w:tc>
          <w:tcPr>
            <w:tcW w:w="1511" w:type="pct"/>
            <w:vAlign w:val="center"/>
          </w:tcPr>
          <w:p>
            <w:pPr>
              <w:adjustRightInd w:val="0"/>
              <w:snapToGrid w:val="0"/>
              <w:jc w:val="left"/>
              <w:rPr>
                <w:rFonts w:ascii="宋体" w:hAnsi="宋体" w:eastAsia="宋体" w:cs="宋体"/>
                <w:sz w:val="24"/>
              </w:rPr>
            </w:pPr>
            <w:r>
              <w:rPr>
                <w:rFonts w:hint="eastAsia" w:ascii="宋体" w:hAnsi="宋体" w:eastAsia="宋体" w:cs="宋体"/>
                <w:sz w:val="24"/>
              </w:rPr>
              <w:t>全数字实时控制系统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4.2</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射频放大器</w:t>
            </w:r>
          </w:p>
        </w:tc>
        <w:tc>
          <w:tcPr>
            <w:tcW w:w="1511" w:type="pct"/>
            <w:vAlign w:val="center"/>
          </w:tcPr>
          <w:p>
            <w:pPr>
              <w:adjustRightInd w:val="0"/>
              <w:snapToGrid w:val="0"/>
              <w:jc w:val="left"/>
              <w:rPr>
                <w:rFonts w:ascii="宋体" w:hAnsi="宋体" w:eastAsia="宋体" w:cs="宋体"/>
                <w:sz w:val="24"/>
              </w:rPr>
            </w:pPr>
            <w:r>
              <w:rPr>
                <w:rFonts w:hint="eastAsia" w:ascii="宋体" w:hAnsi="宋体" w:eastAsia="宋体" w:cs="宋体"/>
                <w:sz w:val="24"/>
              </w:rPr>
              <w:t>固态前放</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射频发射功率</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≥37 kW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射频噪音水平</w:t>
            </w:r>
          </w:p>
        </w:tc>
        <w:tc>
          <w:tcPr>
            <w:tcW w:w="1511" w:type="pct"/>
            <w:vAlign w:val="center"/>
          </w:tcPr>
          <w:p>
            <w:pPr>
              <w:jc w:val="left"/>
              <w:rPr>
                <w:rFonts w:ascii="宋体" w:hAnsi="宋体" w:eastAsia="宋体" w:cs="宋体"/>
                <w:sz w:val="24"/>
              </w:rPr>
            </w:pPr>
            <w:r>
              <w:rPr>
                <w:rFonts w:hint="eastAsia" w:ascii="宋体" w:hAnsi="宋体" w:eastAsia="宋体" w:cs="宋体"/>
                <w:sz w:val="24"/>
              </w:rPr>
              <w:t>≤0.5dB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89"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4.5</w:t>
            </w:r>
          </w:p>
        </w:tc>
        <w:tc>
          <w:tcPr>
            <w:tcW w:w="2766" w:type="pct"/>
            <w:gridSpan w:val="2"/>
            <w:vAlign w:val="center"/>
          </w:tcPr>
          <w:p>
            <w:pPr>
              <w:rPr>
                <w:rFonts w:ascii="宋体" w:hAnsi="宋体" w:eastAsia="宋体" w:cs="宋体"/>
                <w:bCs/>
                <w:sz w:val="24"/>
              </w:rPr>
            </w:pPr>
            <w:r>
              <w:rPr>
                <w:rFonts w:hint="eastAsia" w:ascii="宋体" w:hAnsi="宋体" w:eastAsia="宋体" w:cs="宋体"/>
                <w:bCs/>
                <w:sz w:val="24"/>
              </w:rPr>
              <w:t>射频发射带宽</w:t>
            </w:r>
          </w:p>
        </w:tc>
        <w:tc>
          <w:tcPr>
            <w:tcW w:w="1511" w:type="pct"/>
            <w:vAlign w:val="center"/>
          </w:tcPr>
          <w:p>
            <w:pPr>
              <w:rPr>
                <w:rFonts w:ascii="宋体" w:hAnsi="宋体" w:eastAsia="宋体" w:cs="宋体"/>
                <w:bCs/>
                <w:sz w:val="24"/>
              </w:rPr>
            </w:pPr>
            <w:r>
              <w:rPr>
                <w:rFonts w:hint="eastAsia" w:ascii="宋体" w:hAnsi="宋体" w:eastAsia="宋体" w:cs="宋体"/>
                <w:sz w:val="24"/>
              </w:rPr>
              <w:t>≥</w:t>
            </w:r>
            <w:r>
              <w:rPr>
                <w:rFonts w:hint="eastAsia" w:ascii="宋体" w:hAnsi="宋体" w:eastAsia="宋体" w:cs="宋体"/>
                <w:bCs/>
                <w:sz w:val="24"/>
              </w:rPr>
              <w:t>800kHz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整机最大通道数</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≥146个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4.7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单个扫描野内单次采集最大通道数（最大FOV）</w:t>
            </w:r>
          </w:p>
        </w:tc>
        <w:tc>
          <w:tcPr>
            <w:tcW w:w="1511" w:type="pct"/>
            <w:vAlign w:val="center"/>
          </w:tcPr>
          <w:p>
            <w:pPr>
              <w:jc w:val="left"/>
              <w:rPr>
                <w:rFonts w:ascii="宋体" w:hAnsi="宋体" w:eastAsia="宋体" w:cs="宋体"/>
                <w:sz w:val="24"/>
              </w:rPr>
            </w:pPr>
            <w:r>
              <w:rPr>
                <w:rFonts w:hint="eastAsia" w:ascii="宋体" w:hAnsi="宋体" w:eastAsia="宋体" w:cs="宋体"/>
                <w:sz w:val="24"/>
              </w:rPr>
              <w:t>≥48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各通道接收带宽</w:t>
            </w:r>
          </w:p>
        </w:tc>
        <w:tc>
          <w:tcPr>
            <w:tcW w:w="1511" w:type="pct"/>
            <w:vAlign w:val="center"/>
          </w:tcPr>
          <w:p>
            <w:pPr>
              <w:jc w:val="left"/>
              <w:rPr>
                <w:rFonts w:ascii="宋体" w:hAnsi="宋体" w:eastAsia="宋体" w:cs="宋体"/>
                <w:sz w:val="24"/>
              </w:rPr>
            </w:pPr>
            <w:r>
              <w:rPr>
                <w:rFonts w:hint="eastAsia" w:ascii="宋体" w:hAnsi="宋体" w:eastAsia="宋体" w:cs="宋体"/>
                <w:sz w:val="24"/>
              </w:rPr>
              <w:t>≥1MHz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1"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4.9</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相控阵射频并行接收独立通道数</w:t>
            </w:r>
          </w:p>
        </w:tc>
        <w:tc>
          <w:tcPr>
            <w:tcW w:w="1511" w:type="pct"/>
            <w:vAlign w:val="center"/>
          </w:tcPr>
          <w:p>
            <w:pPr>
              <w:jc w:val="left"/>
              <w:rPr>
                <w:rFonts w:ascii="宋体" w:hAnsi="宋体" w:eastAsia="宋体" w:cs="宋体"/>
                <w:sz w:val="24"/>
              </w:rPr>
            </w:pPr>
            <w:r>
              <w:rPr>
                <w:rFonts w:hint="eastAsia" w:ascii="宋体" w:hAnsi="宋体" w:eastAsia="宋体" w:cs="宋体"/>
                <w:sz w:val="24"/>
              </w:rPr>
              <w:t>≥50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4.10</w:t>
            </w:r>
          </w:p>
        </w:tc>
        <w:tc>
          <w:tcPr>
            <w:tcW w:w="2766"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射频线圈扫描自动调谐技术</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4.11</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射频放大器</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4.12</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射频发射路径位置</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4.13</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射频接收路径位置</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4.14</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ADC模数转换器位置</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磁体机壳内（非线圈内）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4.15</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磁体内置一体化数字射频发射系统</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4.16</w:t>
            </w:r>
          </w:p>
        </w:tc>
        <w:tc>
          <w:tcPr>
            <w:tcW w:w="2766" w:type="pct"/>
            <w:gridSpan w:val="2"/>
            <w:tcBorders>
              <w:left w:val="single" w:color="auto" w:sz="4" w:space="0"/>
              <w:right w:val="single" w:color="auto" w:sz="4" w:space="0"/>
            </w:tcBorders>
            <w:vAlign w:val="center"/>
          </w:tcPr>
          <w:p>
            <w:pPr>
              <w:widowControl/>
              <w:spacing w:line="300" w:lineRule="atLeast"/>
              <w:jc w:val="left"/>
              <w:rPr>
                <w:rFonts w:ascii="宋体" w:hAnsi="宋体" w:eastAsia="宋体" w:cs="宋体"/>
                <w:sz w:val="24"/>
              </w:rPr>
            </w:pPr>
            <w:r>
              <w:rPr>
                <w:rFonts w:hint="eastAsia" w:ascii="宋体" w:hAnsi="宋体" w:eastAsia="宋体" w:cs="宋体"/>
                <w:sz w:val="24"/>
              </w:rPr>
              <w:t>磁体内置一体化数字射频接收系统</w:t>
            </w:r>
          </w:p>
        </w:tc>
        <w:tc>
          <w:tcPr>
            <w:tcW w:w="1511" w:type="pct"/>
            <w:tcBorders>
              <w:left w:val="single" w:color="auto" w:sz="4" w:space="0"/>
              <w:right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2" w:hRule="atLeast"/>
          <w:jc w:val="center"/>
        </w:trPr>
        <w:tc>
          <w:tcPr>
            <w:tcW w:w="721" w:type="pct"/>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5</w:t>
            </w:r>
          </w:p>
        </w:tc>
        <w:tc>
          <w:tcPr>
            <w:tcW w:w="2766" w:type="pct"/>
            <w:gridSpan w:val="2"/>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全身各部位射频接收线圈及物理长度</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(以下线圈为单独使用)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5.1</w:t>
            </w:r>
          </w:p>
        </w:tc>
        <w:tc>
          <w:tcPr>
            <w:tcW w:w="2766" w:type="pct"/>
            <w:gridSpan w:val="2"/>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头颈部矩阵线圈</w:t>
            </w:r>
          </w:p>
        </w:tc>
        <w:tc>
          <w:tcPr>
            <w:tcW w:w="1511" w:type="pct"/>
            <w:tcBorders>
              <w:bottom w:val="single" w:color="auto" w:sz="4" w:space="0"/>
            </w:tcBorders>
            <w:vAlign w:val="center"/>
          </w:tcPr>
          <w:p>
            <w:pPr>
              <w:spacing w:line="360" w:lineRule="auto"/>
              <w:jc w:val="left"/>
              <w:rPr>
                <w:rFonts w:ascii="宋体" w:hAnsi="宋体" w:eastAsia="宋体" w:cs="宋体"/>
                <w:sz w:val="24"/>
              </w:rPr>
            </w:pPr>
            <w:bookmarkStart w:id="0" w:name="OLE_LINK12"/>
            <w:bookmarkStart w:id="1" w:name="OLE_LINK11"/>
            <w:r>
              <w:rPr>
                <w:rFonts w:hint="eastAsia" w:ascii="宋体" w:hAnsi="宋体" w:eastAsia="宋体" w:cs="宋体"/>
                <w:sz w:val="24"/>
              </w:rPr>
              <w:t>≥20通道</w:t>
            </w:r>
            <w:bookmarkEnd w:id="0"/>
            <w:bookmarkEnd w:id="1"/>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5.2</w:t>
            </w:r>
          </w:p>
        </w:tc>
        <w:tc>
          <w:tcPr>
            <w:tcW w:w="2766" w:type="pct"/>
            <w:gridSpan w:val="2"/>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全脊柱矩阵线圈</w:t>
            </w:r>
          </w:p>
        </w:tc>
        <w:tc>
          <w:tcPr>
            <w:tcW w:w="1511" w:type="pct"/>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≥32通道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5.3</w:t>
            </w:r>
          </w:p>
        </w:tc>
        <w:tc>
          <w:tcPr>
            <w:tcW w:w="2766" w:type="pct"/>
            <w:gridSpan w:val="2"/>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全脊柱相控阵线圈单片物理长度</w:t>
            </w:r>
          </w:p>
        </w:tc>
        <w:tc>
          <w:tcPr>
            <w:tcW w:w="1511" w:type="pct"/>
            <w:tcBorders>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≥100cm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5.4</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体部矩阵线圈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≥12通道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5.5</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腹部矩阵线圈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≥28通道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5.6</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在保证能覆盖扫描床宽度的基础上，顺着扫描床方向腹部相控阵线圈单片物理长度</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≥46cm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5.7</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胸部（心脏）矩阵线圈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5.8</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全神经（头颈脊柱一体化）线圈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≥50通道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5.9</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膝关节专用线圈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≥15通道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5.10</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乳腺专用线圈</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5.11</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多功能柔性线圈（大）</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≥12通道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5.12</w:t>
            </w:r>
          </w:p>
        </w:tc>
        <w:tc>
          <w:tcPr>
            <w:tcW w:w="2766" w:type="pct"/>
            <w:gridSpan w:val="2"/>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多功能柔性线圈（小）</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b/>
                <w:sz w:val="24"/>
              </w:rPr>
            </w:pPr>
            <w:r>
              <w:rPr>
                <w:rFonts w:hint="eastAsia" w:ascii="宋体" w:hAnsi="宋体" w:eastAsia="宋体" w:cs="宋体"/>
                <w:sz w:val="24"/>
              </w:rPr>
              <w:t>≥12通道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6</w:t>
            </w:r>
          </w:p>
        </w:tc>
        <w:tc>
          <w:tcPr>
            <w:tcW w:w="2766" w:type="pct"/>
            <w:gridSpan w:val="2"/>
            <w:tcBorders>
              <w:top w:val="single" w:color="auto" w:sz="4" w:space="0"/>
              <w:bottom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全静音平台</w:t>
            </w:r>
          </w:p>
        </w:tc>
        <w:tc>
          <w:tcPr>
            <w:tcW w:w="151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6.1</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梯度系统硬件静音技术</w:t>
            </w:r>
          </w:p>
        </w:tc>
        <w:tc>
          <w:tcPr>
            <w:tcW w:w="1511" w:type="pct"/>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6.2</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声阻尼材料技术</w:t>
            </w:r>
          </w:p>
        </w:tc>
        <w:tc>
          <w:tcPr>
            <w:tcW w:w="1511" w:type="pct"/>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6.3</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真空隔绝腔设计的硬件静音技术</w:t>
            </w:r>
          </w:p>
        </w:tc>
        <w:tc>
          <w:tcPr>
            <w:tcW w:w="1511" w:type="pct"/>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6.4</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自动防止梯度线圈共振的序列优化技术</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6.5</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人工智能选择性静音技术（适用于所有序列）</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全静音平台适用范围</w:t>
            </w:r>
          </w:p>
        </w:tc>
        <w:tc>
          <w:tcPr>
            <w:tcW w:w="1511" w:type="pct"/>
            <w:tcBorders>
              <w:top w:val="single" w:color="auto" w:sz="4" w:space="0"/>
              <w:bottom w:val="single" w:color="auto" w:sz="4" w:space="0"/>
            </w:tcBorders>
          </w:tcPr>
          <w:p>
            <w:pPr>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6.6.1</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全静音平台可用于T1对比</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6.6.2</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全静音平台可用于T2对比</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6.6.3</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全静音平台可用于Darkfluid对比</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6.6.4</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全静音平台可用于SWI对比</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6.6.5</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全静音平台可用于TSE序列</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6.6.5</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全静音平台可用于SE序列</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6.6.5</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全静音平台可用于GRE序列</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6.7</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全静音平台可以应用于3D T1加权超短TE 序列</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6.8</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全静音平台可以应用于神经系统成像</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6.9</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全静音平台可以应用于骨关节系统成像</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6.10</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全静音平台可以应用于脊柱成像</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jc w:val="center"/>
        </w:trPr>
        <w:tc>
          <w:tcPr>
            <w:tcW w:w="721" w:type="pct"/>
            <w:tcBorders>
              <w:top w:val="single" w:color="auto" w:sz="4" w:space="0"/>
              <w:bottom w:val="single" w:color="auto" w:sz="4" w:space="0"/>
            </w:tcBorders>
            <w:vAlign w:val="center"/>
          </w:tcPr>
          <w:p>
            <w:pPr>
              <w:spacing w:line="360" w:lineRule="auto"/>
              <w:jc w:val="left"/>
              <w:rPr>
                <w:rFonts w:ascii="宋体" w:hAnsi="宋体" w:eastAsia="宋体" w:cs="宋体"/>
                <w:sz w:val="24"/>
              </w:rPr>
            </w:pPr>
            <w:r>
              <w:rPr>
                <w:rFonts w:hint="eastAsia" w:ascii="宋体" w:hAnsi="宋体" w:eastAsia="宋体" w:cs="宋体"/>
                <w:sz w:val="24"/>
              </w:rPr>
              <w:t>6.11</w:t>
            </w:r>
          </w:p>
        </w:tc>
        <w:tc>
          <w:tcPr>
            <w:tcW w:w="2766" w:type="pct"/>
            <w:gridSpan w:val="2"/>
            <w:tcBorders>
              <w:top w:val="single" w:color="auto" w:sz="4" w:space="0"/>
              <w:bottom w:val="single" w:color="auto" w:sz="4" w:space="0"/>
            </w:tcBorders>
            <w:vAlign w:val="center"/>
          </w:tcPr>
          <w:p>
            <w:pPr>
              <w:rPr>
                <w:rFonts w:ascii="宋体" w:hAnsi="宋体" w:eastAsia="宋体" w:cs="宋体"/>
                <w:sz w:val="24"/>
              </w:rPr>
            </w:pPr>
            <w:r>
              <w:rPr>
                <w:rFonts w:hint="eastAsia" w:ascii="宋体" w:hAnsi="宋体" w:eastAsia="宋体" w:cs="宋体"/>
                <w:sz w:val="24"/>
              </w:rPr>
              <w:t>可以降低97% 噪声声压</w:t>
            </w:r>
          </w:p>
        </w:tc>
        <w:tc>
          <w:tcPr>
            <w:tcW w:w="1511" w:type="pct"/>
            <w:tcBorders>
              <w:top w:val="single" w:color="auto" w:sz="4" w:space="0"/>
              <w:bottom w:val="single" w:color="auto" w:sz="4" w:space="0"/>
            </w:tcBorders>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7</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主控计算机系统</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主计算机CPU</w:t>
            </w:r>
          </w:p>
        </w:tc>
        <w:tc>
          <w:tcPr>
            <w:tcW w:w="1511" w:type="pct"/>
            <w:vAlign w:val="center"/>
          </w:tcPr>
          <w:p>
            <w:pPr>
              <w:jc w:val="left"/>
              <w:rPr>
                <w:rFonts w:ascii="宋体" w:hAnsi="宋体" w:eastAsia="宋体" w:cs="宋体"/>
                <w:sz w:val="24"/>
              </w:rPr>
            </w:pPr>
            <w:r>
              <w:rPr>
                <w:rFonts w:hint="eastAsia" w:ascii="宋体" w:hAnsi="宋体" w:eastAsia="宋体" w:cs="宋体"/>
                <w:sz w:val="24"/>
              </w:rPr>
              <w:t>≥</w:t>
            </w:r>
            <w:r>
              <w:rPr>
                <w:rFonts w:hint="eastAsia" w:ascii="宋体" w:hAnsi="宋体" w:eastAsia="宋体" w:cs="宋体"/>
                <w:snapToGrid w:val="0"/>
                <w:sz w:val="24"/>
                <w:lang w:val="de-DE"/>
              </w:rPr>
              <w:t>四核 Intel Xeon</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CPU个数</w:t>
            </w:r>
          </w:p>
        </w:tc>
        <w:tc>
          <w:tcPr>
            <w:tcW w:w="1511" w:type="pct"/>
            <w:vAlign w:val="center"/>
          </w:tcPr>
          <w:p>
            <w:pPr>
              <w:jc w:val="left"/>
              <w:rPr>
                <w:rFonts w:ascii="宋体" w:hAnsi="宋体" w:eastAsia="宋体" w:cs="宋体"/>
                <w:sz w:val="24"/>
              </w:rPr>
            </w:pPr>
            <w:r>
              <w:rPr>
                <w:rFonts w:hint="eastAsia" w:ascii="宋体" w:hAnsi="宋体" w:eastAsia="宋体" w:cs="宋体"/>
                <w:sz w:val="24"/>
              </w:rPr>
              <w:t>≥2个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CPU位数</w:t>
            </w:r>
          </w:p>
        </w:tc>
        <w:tc>
          <w:tcPr>
            <w:tcW w:w="1511" w:type="pct"/>
            <w:vAlign w:val="center"/>
          </w:tcPr>
          <w:p>
            <w:pPr>
              <w:jc w:val="left"/>
              <w:rPr>
                <w:rFonts w:ascii="宋体" w:hAnsi="宋体" w:eastAsia="宋体" w:cs="宋体"/>
                <w:sz w:val="24"/>
              </w:rPr>
            </w:pPr>
            <w:r>
              <w:rPr>
                <w:rFonts w:hint="eastAsia" w:ascii="宋体" w:hAnsi="宋体" w:eastAsia="宋体" w:cs="宋体"/>
                <w:sz w:val="24"/>
              </w:rPr>
              <w:t>≥64位</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主频（单个）大小</w:t>
            </w:r>
          </w:p>
        </w:tc>
        <w:tc>
          <w:tcPr>
            <w:tcW w:w="1511" w:type="pct"/>
            <w:vAlign w:val="center"/>
          </w:tcPr>
          <w:p>
            <w:pPr>
              <w:jc w:val="left"/>
              <w:rPr>
                <w:rFonts w:ascii="宋体" w:hAnsi="宋体" w:eastAsia="宋体" w:cs="宋体"/>
                <w:sz w:val="24"/>
              </w:rPr>
            </w:pPr>
            <w:r>
              <w:rPr>
                <w:rFonts w:hint="eastAsia" w:ascii="宋体" w:hAnsi="宋体" w:eastAsia="宋体" w:cs="宋体"/>
                <w:sz w:val="24"/>
              </w:rPr>
              <w:t>≥3.5GHz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内存大小</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≥32GB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计算机显示器</w:t>
            </w:r>
          </w:p>
        </w:tc>
        <w:tc>
          <w:tcPr>
            <w:tcW w:w="1511" w:type="pct"/>
            <w:vAlign w:val="center"/>
          </w:tcPr>
          <w:p>
            <w:pPr>
              <w:jc w:val="left"/>
              <w:rPr>
                <w:rFonts w:ascii="宋体" w:hAnsi="宋体" w:eastAsia="宋体" w:cs="宋体"/>
                <w:sz w:val="24"/>
              </w:rPr>
            </w:pPr>
            <w:r>
              <w:rPr>
                <w:rFonts w:hint="eastAsia" w:ascii="宋体" w:hAnsi="宋体" w:eastAsia="宋体" w:cs="宋体"/>
                <w:sz w:val="24"/>
              </w:rPr>
              <w:t>≥19英寸彩色LCD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显示器分辨率</w:t>
            </w:r>
          </w:p>
        </w:tc>
        <w:tc>
          <w:tcPr>
            <w:tcW w:w="1511" w:type="pct"/>
            <w:vAlign w:val="center"/>
          </w:tcPr>
          <w:p>
            <w:pPr>
              <w:jc w:val="left"/>
              <w:rPr>
                <w:rFonts w:ascii="宋体" w:hAnsi="宋体" w:eastAsia="宋体" w:cs="宋体"/>
                <w:sz w:val="24"/>
              </w:rPr>
            </w:pPr>
            <w:r>
              <w:rPr>
                <w:rFonts w:hint="eastAsia" w:ascii="宋体" w:hAnsi="宋体" w:eastAsia="宋体" w:cs="宋体"/>
                <w:sz w:val="24"/>
              </w:rPr>
              <w:t>≥1024×1200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硬盘容量</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≥900GB  </w:t>
            </w:r>
            <w:r>
              <w:rPr>
                <w:rFonts w:hint="eastAsia" w:ascii="宋体" w:hAnsi="宋体" w:eastAsia="宋体" w:cs="宋体"/>
                <w:b/>
                <w:sz w:val="24"/>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数据存储形式</w:t>
            </w:r>
          </w:p>
        </w:tc>
        <w:tc>
          <w:tcPr>
            <w:tcW w:w="1511" w:type="pct"/>
            <w:vAlign w:val="center"/>
          </w:tcPr>
          <w:p>
            <w:pPr>
              <w:jc w:val="left"/>
              <w:rPr>
                <w:rFonts w:ascii="宋体" w:hAnsi="宋体" w:eastAsia="宋体" w:cs="宋体"/>
                <w:sz w:val="24"/>
              </w:rPr>
            </w:pPr>
            <w:r>
              <w:rPr>
                <w:rFonts w:hint="eastAsia" w:ascii="宋体" w:hAnsi="宋体" w:eastAsia="宋体" w:cs="宋体"/>
                <w:sz w:val="24"/>
              </w:rPr>
              <w:t>CD/DVD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阵列处理器主频</w:t>
            </w:r>
          </w:p>
        </w:tc>
        <w:tc>
          <w:tcPr>
            <w:tcW w:w="1511" w:type="pct"/>
            <w:vAlign w:val="center"/>
          </w:tcPr>
          <w:p>
            <w:pPr>
              <w:jc w:val="left"/>
              <w:rPr>
                <w:rFonts w:ascii="宋体" w:hAnsi="宋体" w:eastAsia="宋体" w:cs="宋体"/>
                <w:sz w:val="24"/>
              </w:rPr>
            </w:pPr>
            <w:bookmarkStart w:id="2" w:name="OLE_LINK4"/>
            <w:bookmarkStart w:id="3" w:name="OLE_LINK1"/>
            <w:r>
              <w:rPr>
                <w:rFonts w:hint="eastAsia" w:ascii="宋体" w:hAnsi="宋体" w:eastAsia="宋体" w:cs="宋体"/>
                <w:sz w:val="24"/>
              </w:rPr>
              <w:t>≥</w:t>
            </w:r>
            <w:bookmarkEnd w:id="2"/>
            <w:bookmarkEnd w:id="3"/>
            <w:r>
              <w:rPr>
                <w:rFonts w:hint="eastAsia" w:ascii="宋体" w:hAnsi="宋体" w:eastAsia="宋体" w:cs="宋体"/>
                <w:sz w:val="24"/>
              </w:rPr>
              <w:t xml:space="preserve"> 3GHz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阵列处理器内存</w:t>
            </w:r>
          </w:p>
        </w:tc>
        <w:tc>
          <w:tcPr>
            <w:tcW w:w="1511" w:type="pct"/>
            <w:vAlign w:val="center"/>
          </w:tcPr>
          <w:p>
            <w:pPr>
              <w:jc w:val="left"/>
              <w:rPr>
                <w:rFonts w:ascii="宋体" w:hAnsi="宋体" w:eastAsia="宋体" w:cs="宋体"/>
                <w:sz w:val="24"/>
              </w:rPr>
            </w:pPr>
            <w:r>
              <w:rPr>
                <w:rFonts w:hint="eastAsia" w:ascii="宋体" w:hAnsi="宋体" w:eastAsia="宋体" w:cs="宋体"/>
                <w:sz w:val="24"/>
              </w:rPr>
              <w:t>≥ 64GB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阵列处理器硬盘</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≥720GB  </w:t>
            </w:r>
            <w:r>
              <w:rPr>
                <w:rFonts w:hint="eastAsia" w:ascii="宋体" w:hAnsi="宋体" w:eastAsia="宋体" w:cs="宋体"/>
                <w:b/>
                <w:sz w:val="24"/>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9"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图像存储数(256X256)</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≥60,000幅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图像重建速度(256X256)</w:t>
            </w:r>
          </w:p>
        </w:tc>
        <w:tc>
          <w:tcPr>
            <w:tcW w:w="1511" w:type="pct"/>
            <w:vAlign w:val="center"/>
          </w:tcPr>
          <w:p>
            <w:pPr>
              <w:jc w:val="left"/>
              <w:rPr>
                <w:rFonts w:ascii="宋体" w:hAnsi="宋体" w:eastAsia="宋体" w:cs="宋体"/>
                <w:sz w:val="24"/>
              </w:rPr>
            </w:pPr>
            <w:r>
              <w:rPr>
                <w:rFonts w:hint="eastAsia" w:ascii="宋体" w:hAnsi="宋体" w:eastAsia="宋体" w:cs="宋体"/>
                <w:sz w:val="24"/>
              </w:rPr>
              <w:t>≥40000幅/秒</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05"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7.15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并行多个任务处理数</w:t>
            </w:r>
          </w:p>
        </w:tc>
        <w:tc>
          <w:tcPr>
            <w:tcW w:w="1511" w:type="pct"/>
            <w:vAlign w:val="center"/>
          </w:tcPr>
          <w:p>
            <w:pPr>
              <w:jc w:val="left"/>
              <w:rPr>
                <w:rFonts w:ascii="宋体" w:hAnsi="宋体" w:eastAsia="宋体" w:cs="宋体"/>
                <w:sz w:val="24"/>
              </w:rPr>
            </w:pPr>
            <w:r>
              <w:rPr>
                <w:rFonts w:hint="eastAsia" w:ascii="宋体" w:hAnsi="宋体" w:eastAsia="宋体" w:cs="宋体"/>
                <w:sz w:val="24"/>
              </w:rPr>
              <w:t>≥ 8个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7.16</w:t>
            </w:r>
          </w:p>
        </w:tc>
        <w:tc>
          <w:tcPr>
            <w:tcW w:w="2766"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显示图像分辨率</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≥1920×1200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8</w:t>
            </w:r>
          </w:p>
        </w:tc>
        <w:tc>
          <w:tcPr>
            <w:tcW w:w="2766"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系统后处理功能</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3D后处理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实时MPR后处理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8.3</w:t>
            </w:r>
          </w:p>
        </w:tc>
        <w:tc>
          <w:tcPr>
            <w:tcW w:w="2766" w:type="pct"/>
            <w:gridSpan w:val="2"/>
            <w:vAlign w:val="center"/>
          </w:tcPr>
          <w:p>
            <w:pPr>
              <w:jc w:val="left"/>
              <w:rPr>
                <w:rFonts w:ascii="宋体" w:hAnsi="宋体" w:eastAsia="宋体" w:cs="宋体"/>
                <w:snapToGrid w:val="0"/>
                <w:sz w:val="24"/>
              </w:rPr>
            </w:pPr>
            <w:r>
              <w:rPr>
                <w:rFonts w:hint="eastAsia" w:ascii="宋体" w:hAnsi="宋体" w:eastAsia="宋体" w:cs="宋体"/>
                <w:sz w:val="24"/>
              </w:rPr>
              <w:t>三维表面重建技术SSD后处理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7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实时MIP后处理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8.5</w:t>
            </w:r>
          </w:p>
        </w:tc>
        <w:tc>
          <w:tcPr>
            <w:tcW w:w="2766" w:type="pct"/>
            <w:gridSpan w:val="2"/>
            <w:vAlign w:val="center"/>
          </w:tcPr>
          <w:p>
            <w:pPr>
              <w:ind w:right="-1529" w:rightChars="-728"/>
              <w:jc w:val="left"/>
              <w:rPr>
                <w:rFonts w:ascii="宋体" w:hAnsi="宋体" w:eastAsia="宋体" w:cs="宋体"/>
                <w:sz w:val="24"/>
              </w:rPr>
            </w:pPr>
            <w:r>
              <w:rPr>
                <w:rFonts w:hint="eastAsia" w:ascii="宋体" w:hAnsi="宋体" w:eastAsia="宋体" w:cs="宋体"/>
                <w:sz w:val="24"/>
              </w:rPr>
              <w:t>电影回放软件</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8.6</w:t>
            </w:r>
          </w:p>
        </w:tc>
        <w:tc>
          <w:tcPr>
            <w:tcW w:w="2766" w:type="pct"/>
            <w:gridSpan w:val="2"/>
            <w:vAlign w:val="center"/>
          </w:tcPr>
          <w:p>
            <w:pPr>
              <w:ind w:right="-1529" w:rightChars="-728"/>
              <w:jc w:val="left"/>
              <w:rPr>
                <w:rFonts w:ascii="宋体" w:hAnsi="宋体" w:eastAsia="宋体" w:cs="宋体"/>
                <w:sz w:val="24"/>
              </w:rPr>
            </w:pPr>
            <w:r>
              <w:rPr>
                <w:rFonts w:hint="eastAsia" w:ascii="宋体" w:hAnsi="宋体" w:eastAsia="宋体" w:cs="宋体"/>
                <w:sz w:val="24"/>
              </w:rPr>
              <w:t>图像评价软件</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8.7</w:t>
            </w:r>
          </w:p>
        </w:tc>
        <w:tc>
          <w:tcPr>
            <w:tcW w:w="2766" w:type="pct"/>
            <w:gridSpan w:val="2"/>
            <w:vAlign w:val="center"/>
          </w:tcPr>
          <w:p>
            <w:pPr>
              <w:ind w:right="-1529" w:rightChars="-728"/>
              <w:jc w:val="left"/>
              <w:rPr>
                <w:rFonts w:ascii="宋体" w:hAnsi="宋体" w:eastAsia="宋体" w:cs="宋体"/>
                <w:sz w:val="24"/>
              </w:rPr>
            </w:pPr>
            <w:r>
              <w:rPr>
                <w:rFonts w:hint="eastAsia" w:ascii="宋体" w:hAnsi="宋体" w:eastAsia="宋体" w:cs="宋体"/>
                <w:sz w:val="24"/>
              </w:rPr>
              <w:t>实时互动重建</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ADC-map</w:t>
            </w:r>
          </w:p>
        </w:tc>
        <w:tc>
          <w:tcPr>
            <w:tcW w:w="1511" w:type="pct"/>
            <w:vAlign w:val="center"/>
          </w:tcPr>
          <w:p>
            <w:pPr>
              <w:ind w:right="-1529" w:rightChars="-728"/>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T1，T2值计算</w:t>
            </w:r>
          </w:p>
        </w:tc>
        <w:tc>
          <w:tcPr>
            <w:tcW w:w="1511" w:type="pct"/>
            <w:vAlign w:val="center"/>
          </w:tcPr>
          <w:p>
            <w:pPr>
              <w:ind w:right="-1529" w:rightChars="-728"/>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8.10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时间信号曲线</w:t>
            </w:r>
          </w:p>
        </w:tc>
        <w:tc>
          <w:tcPr>
            <w:tcW w:w="1511" w:type="pct"/>
            <w:vAlign w:val="center"/>
          </w:tcPr>
          <w:p>
            <w:pPr>
              <w:ind w:right="-1529" w:rightChars="-728"/>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8.11</w:t>
            </w:r>
          </w:p>
        </w:tc>
        <w:tc>
          <w:tcPr>
            <w:tcW w:w="2766"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图像减影、叠加</w:t>
            </w:r>
          </w:p>
        </w:tc>
        <w:tc>
          <w:tcPr>
            <w:tcW w:w="1511" w:type="pct"/>
            <w:tcBorders>
              <w:left w:val="single" w:color="auto" w:sz="4" w:space="0"/>
              <w:right w:val="single" w:color="auto" w:sz="4" w:space="0"/>
            </w:tcBorders>
            <w:vAlign w:val="center"/>
          </w:tcPr>
          <w:p>
            <w:pPr>
              <w:ind w:right="-1529" w:rightChars="-728"/>
              <w:jc w:val="left"/>
              <w:rPr>
                <w:rFonts w:ascii="宋体" w:hAnsi="宋体" w:eastAsia="宋体" w:cs="宋体"/>
                <w:snapToGrid w:val="0"/>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9</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操作台、扫描床及环境调节系统</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垂直移动时扫描床最大承重</w:t>
            </w:r>
          </w:p>
        </w:tc>
        <w:tc>
          <w:tcPr>
            <w:tcW w:w="1511" w:type="pct"/>
            <w:vAlign w:val="center"/>
          </w:tcPr>
          <w:p>
            <w:pPr>
              <w:jc w:val="left"/>
              <w:rPr>
                <w:rFonts w:ascii="宋体" w:hAnsi="宋体" w:eastAsia="宋体" w:cs="宋体"/>
                <w:sz w:val="24"/>
              </w:rPr>
            </w:pPr>
            <w:r>
              <w:rPr>
                <w:rFonts w:hint="eastAsia" w:ascii="宋体" w:hAnsi="宋体" w:eastAsia="宋体" w:cs="宋体"/>
                <w:sz w:val="24"/>
              </w:rPr>
              <w:t>≥220Kg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扫描床移动精度</w:t>
            </w:r>
          </w:p>
        </w:tc>
        <w:tc>
          <w:tcPr>
            <w:tcW w:w="1511" w:type="pct"/>
            <w:vAlign w:val="center"/>
          </w:tcPr>
          <w:p>
            <w:pPr>
              <w:jc w:val="left"/>
              <w:rPr>
                <w:rFonts w:ascii="宋体" w:hAnsi="宋体" w:eastAsia="宋体" w:cs="宋体"/>
                <w:sz w:val="24"/>
              </w:rPr>
            </w:pPr>
            <w:r>
              <w:rPr>
                <w:rFonts w:hint="eastAsia" w:ascii="宋体" w:hAnsi="宋体" w:eastAsia="宋体" w:cs="宋体"/>
                <w:sz w:val="24"/>
              </w:rPr>
              <w:t>≤0.5mm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9.3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单次进床扫描范围</w:t>
            </w:r>
          </w:p>
        </w:tc>
        <w:tc>
          <w:tcPr>
            <w:tcW w:w="1511" w:type="pct"/>
            <w:vAlign w:val="center"/>
          </w:tcPr>
          <w:p>
            <w:pPr>
              <w:jc w:val="left"/>
              <w:rPr>
                <w:rFonts w:ascii="宋体" w:hAnsi="宋体" w:eastAsia="宋体" w:cs="宋体"/>
                <w:sz w:val="24"/>
              </w:rPr>
            </w:pPr>
            <w:r>
              <w:rPr>
                <w:rFonts w:hint="eastAsia" w:ascii="宋体" w:hAnsi="宋体" w:eastAsia="宋体" w:cs="宋体"/>
                <w:sz w:val="24"/>
              </w:rPr>
              <w:t>≥200cm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床旁扫描控制系统（双侧）</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具备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可移动扫描床在紧急情况下可及时与磁体脱离并保证可及时推离现场，扫描床应含中控万向轮以保安全</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病人监视系统</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1"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照明、通风、通话、背景音乐</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最低床位</w:t>
            </w:r>
          </w:p>
        </w:tc>
        <w:tc>
          <w:tcPr>
            <w:tcW w:w="1511" w:type="pct"/>
            <w:vAlign w:val="center"/>
          </w:tcPr>
          <w:p>
            <w:pPr>
              <w:jc w:val="left"/>
              <w:rPr>
                <w:rFonts w:ascii="宋体" w:hAnsi="宋体" w:eastAsia="宋体" w:cs="宋体"/>
                <w:sz w:val="24"/>
              </w:rPr>
            </w:pPr>
            <w:r>
              <w:rPr>
                <w:rFonts w:hint="eastAsia" w:ascii="宋体" w:hAnsi="宋体" w:eastAsia="宋体" w:cs="宋体"/>
                <w:sz w:val="24"/>
              </w:rPr>
              <w:t>≤55cm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检查床最大床速</w:t>
            </w:r>
          </w:p>
        </w:tc>
        <w:tc>
          <w:tcPr>
            <w:tcW w:w="1511" w:type="pct"/>
            <w:vAlign w:val="center"/>
          </w:tcPr>
          <w:p>
            <w:pPr>
              <w:jc w:val="left"/>
              <w:rPr>
                <w:rFonts w:ascii="宋体" w:hAnsi="宋体" w:eastAsia="宋体" w:cs="宋体"/>
                <w:sz w:val="24"/>
              </w:rPr>
            </w:pPr>
            <w:r>
              <w:rPr>
                <w:rFonts w:hint="eastAsia" w:ascii="宋体" w:hAnsi="宋体" w:eastAsia="宋体" w:cs="宋体"/>
                <w:sz w:val="24"/>
              </w:rPr>
              <w:t>≥20cm/s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9.10</w:t>
            </w:r>
          </w:p>
        </w:tc>
        <w:tc>
          <w:tcPr>
            <w:tcW w:w="2766" w:type="pct"/>
            <w:gridSpan w:val="2"/>
            <w:vAlign w:val="center"/>
          </w:tcPr>
          <w:p>
            <w:pPr>
              <w:rPr>
                <w:rFonts w:ascii="宋体" w:hAnsi="宋体" w:eastAsia="宋体" w:cs="宋体"/>
                <w:bCs/>
                <w:sz w:val="24"/>
              </w:rPr>
            </w:pPr>
            <w:r>
              <w:rPr>
                <w:rFonts w:hint="eastAsia" w:ascii="宋体" w:hAnsi="宋体" w:eastAsia="宋体" w:cs="宋体"/>
                <w:bCs/>
                <w:sz w:val="24"/>
              </w:rPr>
              <w:t>最大水平移动范围</w:t>
            </w:r>
          </w:p>
        </w:tc>
        <w:tc>
          <w:tcPr>
            <w:tcW w:w="1511" w:type="pct"/>
            <w:vAlign w:val="center"/>
          </w:tcPr>
          <w:p>
            <w:pPr>
              <w:rPr>
                <w:rFonts w:ascii="宋体" w:hAnsi="宋体" w:eastAsia="宋体" w:cs="宋体"/>
                <w:bCs/>
                <w:sz w:val="24"/>
              </w:rPr>
            </w:pPr>
            <w:r>
              <w:rPr>
                <w:rFonts w:hint="eastAsia" w:ascii="宋体" w:hAnsi="宋体" w:eastAsia="宋体" w:cs="宋体"/>
                <w:sz w:val="24"/>
              </w:rPr>
              <w:t>≥</w:t>
            </w:r>
            <w:r>
              <w:rPr>
                <w:rFonts w:hint="eastAsia" w:ascii="宋体" w:hAnsi="宋体" w:eastAsia="宋体" w:cs="宋体"/>
                <w:bCs/>
                <w:sz w:val="24"/>
              </w:rPr>
              <w:t>275cm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遥控线圈更换</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 xml:space="preserve">自动步进扫描床 </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9.13</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患者专用防磁耳机、呼叫按钮</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9.14</w:t>
            </w:r>
          </w:p>
        </w:tc>
        <w:tc>
          <w:tcPr>
            <w:tcW w:w="2766" w:type="pct"/>
            <w:gridSpan w:val="2"/>
            <w:vAlign w:val="center"/>
          </w:tcPr>
          <w:p>
            <w:pPr>
              <w:jc w:val="left"/>
              <w:rPr>
                <w:rFonts w:ascii="宋体" w:hAnsi="宋体" w:eastAsia="宋体" w:cs="宋体"/>
                <w:sz w:val="24"/>
              </w:rPr>
            </w:pPr>
            <w:r>
              <w:rPr>
                <w:rFonts w:hint="eastAsia" w:ascii="宋体" w:hAnsi="宋体" w:eastAsia="宋体" w:cs="宋体"/>
                <w:bCs/>
                <w:sz w:val="24"/>
              </w:rPr>
              <w:t>特定吸收率SAR实时连续监控显示装置</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9.15</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紧急制动系统</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9.16</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心电门控</w:t>
            </w:r>
          </w:p>
        </w:tc>
        <w:tc>
          <w:tcPr>
            <w:tcW w:w="1511" w:type="pct"/>
            <w:vAlign w:val="center"/>
          </w:tcPr>
          <w:p>
            <w:pPr>
              <w:adjustRightInd w:val="0"/>
              <w:snapToGrid w:val="0"/>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9.17</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呼吸门控</w:t>
            </w:r>
          </w:p>
        </w:tc>
        <w:tc>
          <w:tcPr>
            <w:tcW w:w="1511" w:type="pct"/>
            <w:vAlign w:val="center"/>
          </w:tcPr>
          <w:p>
            <w:pPr>
              <w:adjustRightInd w:val="0"/>
              <w:snapToGrid w:val="0"/>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9.18</w:t>
            </w:r>
          </w:p>
        </w:tc>
        <w:tc>
          <w:tcPr>
            <w:tcW w:w="2766" w:type="pct"/>
            <w:gridSpan w:val="2"/>
            <w:vAlign w:val="center"/>
          </w:tcPr>
          <w:p>
            <w:pPr>
              <w:adjustRightInd w:val="0"/>
              <w:snapToGrid w:val="0"/>
              <w:jc w:val="left"/>
              <w:rPr>
                <w:rFonts w:ascii="宋体" w:hAnsi="宋体" w:eastAsia="宋体" w:cs="宋体"/>
                <w:sz w:val="24"/>
              </w:rPr>
            </w:pPr>
            <w:r>
              <w:rPr>
                <w:rFonts w:hint="eastAsia" w:ascii="宋体" w:hAnsi="宋体" w:eastAsia="宋体" w:cs="宋体"/>
                <w:sz w:val="24"/>
              </w:rPr>
              <w:t>外周门控</w:t>
            </w:r>
          </w:p>
        </w:tc>
        <w:tc>
          <w:tcPr>
            <w:tcW w:w="1511" w:type="pct"/>
            <w:vAlign w:val="center"/>
          </w:tcPr>
          <w:p>
            <w:pPr>
              <w:adjustRightInd w:val="0"/>
              <w:snapToGrid w:val="0"/>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10</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后处理接口</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软件控制照相技术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光盘刻录机</w:t>
            </w:r>
          </w:p>
        </w:tc>
        <w:tc>
          <w:tcPr>
            <w:tcW w:w="1511" w:type="pct"/>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可同时回读至主机和PC机</w:t>
            </w:r>
          </w:p>
        </w:tc>
        <w:tc>
          <w:tcPr>
            <w:tcW w:w="1511" w:type="pct"/>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具备完整DICOM3.0接口及 与PACS 网络连接（包括Query/Retrieve、Send/Receive、Print、Worklist）的功能</w:t>
            </w:r>
          </w:p>
        </w:tc>
        <w:tc>
          <w:tcPr>
            <w:tcW w:w="1511" w:type="pct"/>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具备DICOM3.0标准激光 相机数字接口</w:t>
            </w:r>
          </w:p>
        </w:tc>
        <w:tc>
          <w:tcPr>
            <w:tcW w:w="1511" w:type="pct"/>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10.6</w:t>
            </w:r>
          </w:p>
        </w:tc>
        <w:tc>
          <w:tcPr>
            <w:tcW w:w="2766" w:type="pct"/>
            <w:gridSpan w:val="2"/>
            <w:vAlign w:val="center"/>
          </w:tcPr>
          <w:p>
            <w:pPr>
              <w:jc w:val="left"/>
              <w:rPr>
                <w:rFonts w:ascii="宋体" w:hAnsi="宋体" w:eastAsia="宋体" w:cs="宋体"/>
                <w:sz w:val="24"/>
              </w:rPr>
            </w:pPr>
            <w:r>
              <w:rPr>
                <w:rFonts w:hint="eastAsia" w:ascii="宋体" w:hAnsi="宋体" w:eastAsia="宋体" w:cs="宋体"/>
                <w:bCs/>
                <w:sz w:val="24"/>
              </w:rPr>
              <w:t>主机向PC机传输图像数据功能</w:t>
            </w:r>
          </w:p>
        </w:tc>
        <w:tc>
          <w:tcPr>
            <w:tcW w:w="1511" w:type="pct"/>
          </w:tcPr>
          <w:p>
            <w:pPr>
              <w:jc w:val="left"/>
              <w:rPr>
                <w:rFonts w:ascii="宋体" w:hAnsi="宋体" w:eastAsia="宋体" w:cs="宋体"/>
                <w:sz w:val="24"/>
              </w:rPr>
            </w:pPr>
            <w:r>
              <w:rPr>
                <w:rFonts w:hint="eastAsia" w:ascii="宋体" w:hAnsi="宋体" w:eastAsia="宋体" w:cs="宋体"/>
                <w:bCs/>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远程遥控维修遥控</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8"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图像网络传输标准</w:t>
            </w:r>
          </w:p>
        </w:tc>
        <w:tc>
          <w:tcPr>
            <w:tcW w:w="1511" w:type="pct"/>
            <w:vAlign w:val="center"/>
          </w:tcPr>
          <w:p>
            <w:pPr>
              <w:jc w:val="left"/>
              <w:rPr>
                <w:rFonts w:ascii="宋体" w:hAnsi="宋体" w:eastAsia="宋体" w:cs="宋体"/>
                <w:sz w:val="24"/>
              </w:rPr>
            </w:pPr>
            <w:r>
              <w:rPr>
                <w:rFonts w:hint="eastAsia" w:ascii="宋体" w:hAnsi="宋体" w:eastAsia="宋体" w:cs="宋体"/>
                <w:sz w:val="24"/>
              </w:rPr>
              <w:t>≥100M 以太网连接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10.9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图像网络传输速度</w:t>
            </w:r>
          </w:p>
        </w:tc>
        <w:tc>
          <w:tcPr>
            <w:tcW w:w="1511" w:type="pct"/>
            <w:vAlign w:val="center"/>
          </w:tcPr>
          <w:p>
            <w:pPr>
              <w:jc w:val="left"/>
              <w:rPr>
                <w:rFonts w:ascii="宋体" w:hAnsi="宋体" w:eastAsia="宋体" w:cs="宋体"/>
                <w:sz w:val="24"/>
              </w:rPr>
            </w:pPr>
            <w:r>
              <w:rPr>
                <w:rFonts w:hint="eastAsia" w:ascii="宋体" w:hAnsi="宋体" w:eastAsia="宋体" w:cs="宋体"/>
                <w:sz w:val="24"/>
              </w:rPr>
              <w:t>≥60幅/秒（256x256）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11</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全景一体化成像系统</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一次摆位完成全部线圈扫描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线圈组合扫描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同时采集线圈数</w:t>
            </w:r>
          </w:p>
        </w:tc>
        <w:tc>
          <w:tcPr>
            <w:tcW w:w="1511" w:type="pct"/>
            <w:vAlign w:val="center"/>
          </w:tcPr>
          <w:p>
            <w:pPr>
              <w:jc w:val="left"/>
              <w:rPr>
                <w:rFonts w:ascii="宋体" w:hAnsi="宋体" w:eastAsia="宋体" w:cs="宋体"/>
                <w:sz w:val="24"/>
              </w:rPr>
            </w:pPr>
            <w:r>
              <w:rPr>
                <w:rFonts w:hint="eastAsia" w:ascii="宋体" w:hAnsi="宋体" w:eastAsia="宋体" w:cs="宋体"/>
                <w:sz w:val="24"/>
              </w:rPr>
              <w:t>≥4个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组合扫描专用线圈控制软件</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智能定位技术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脊柱线圈整合于床面设计</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线圈接口整合于床面设计</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线圈接口数目</w:t>
            </w:r>
          </w:p>
        </w:tc>
        <w:tc>
          <w:tcPr>
            <w:tcW w:w="1511" w:type="pct"/>
            <w:vAlign w:val="center"/>
          </w:tcPr>
          <w:p>
            <w:pPr>
              <w:jc w:val="left"/>
              <w:rPr>
                <w:rFonts w:ascii="宋体" w:hAnsi="宋体" w:eastAsia="宋体" w:cs="宋体"/>
                <w:sz w:val="24"/>
              </w:rPr>
            </w:pPr>
            <w:r>
              <w:rPr>
                <w:rFonts w:hint="eastAsia" w:ascii="宋体" w:hAnsi="宋体" w:eastAsia="宋体" w:cs="宋体"/>
                <w:sz w:val="24"/>
              </w:rPr>
              <w:t>≥8个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矩阵线圈通道选择模式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矩阵线圈频谱成像模式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实时扫描助手</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全中枢神经成像无缝连接</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自动检查计划</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11.14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自动结果生成</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12</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多通道（源）射频发射技术平台（TrueForm、MultiDrive或Multitransmit 4D）</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双通道射频发射技术</w:t>
            </w:r>
          </w:p>
        </w:tc>
        <w:tc>
          <w:tcPr>
            <w:tcW w:w="1511" w:type="pct"/>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a-SPACE技术</w:t>
            </w:r>
          </w:p>
        </w:tc>
        <w:tc>
          <w:tcPr>
            <w:tcW w:w="1511" w:type="pct"/>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12.3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B1 Filter技术</w:t>
            </w:r>
          </w:p>
        </w:tc>
        <w:tc>
          <w:tcPr>
            <w:tcW w:w="1511" w:type="pct"/>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13</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智能操作平台</w:t>
            </w:r>
          </w:p>
        </w:tc>
        <w:tc>
          <w:tcPr>
            <w:tcW w:w="1511" w:type="pct"/>
          </w:tcPr>
          <w:p>
            <w:pPr>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头部自动定位功能</w:t>
            </w:r>
          </w:p>
        </w:tc>
        <w:tc>
          <w:tcPr>
            <w:tcW w:w="1511" w:type="pct"/>
          </w:tcPr>
          <w:p>
            <w:pPr>
              <w:jc w:val="left"/>
              <w:rPr>
                <w:rFonts w:ascii="宋体" w:hAnsi="宋体" w:eastAsia="宋体" w:cs="宋体"/>
                <w:sz w:val="24"/>
              </w:rPr>
            </w:pPr>
            <w:r>
              <w:rPr>
                <w:rFonts w:hint="eastAsia" w:ascii="宋体" w:hAnsi="宋体" w:eastAsia="宋体" w:cs="宋体"/>
                <w:sz w:val="24"/>
              </w:rPr>
              <w:t>具备，AutoAlign Head、ReadyBrain Head或SmartExam Head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图文引导的实时在线指导功能</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大范围自动扫描定位功能（移动中扫描定位）</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并行采集拓展功能</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膈肌导航技术</w:t>
            </w:r>
          </w:p>
        </w:tc>
        <w:tc>
          <w:tcPr>
            <w:tcW w:w="1511" w:type="pct"/>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13.6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相位导航技术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1"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14</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扫描参数</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w:t>
            </w:r>
            <w:r>
              <w:rPr>
                <w:rFonts w:hint="eastAsia" w:ascii="宋体" w:hAnsi="宋体" w:eastAsia="宋体" w:cs="宋体"/>
                <w:sz w:val="24"/>
              </w:rPr>
              <w:t>14.1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最小二维层厚</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≤0.1mm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最小三维层厚</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≤0.05mm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最大扫描视野</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≥50cm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最小扫描视野</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≤0.5cm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自旋回波最短TR（128X128矩阵）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≤5.0ms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自旋回波最短TE（128X128矩阵）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≤1.5ms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自旋回波最短TR（256X256矩阵）</w:t>
            </w:r>
          </w:p>
        </w:tc>
        <w:tc>
          <w:tcPr>
            <w:tcW w:w="1511" w:type="pct"/>
            <w:vAlign w:val="center"/>
          </w:tcPr>
          <w:p>
            <w:pPr>
              <w:jc w:val="left"/>
              <w:rPr>
                <w:rFonts w:ascii="宋体" w:hAnsi="宋体" w:eastAsia="宋体" w:cs="宋体"/>
                <w:b/>
                <w:sz w:val="24"/>
              </w:rPr>
            </w:pPr>
            <w:r>
              <w:rPr>
                <w:rFonts w:hint="eastAsia" w:ascii="宋体" w:hAnsi="宋体" w:eastAsia="宋体" w:cs="宋体"/>
                <w:sz w:val="24"/>
              </w:rPr>
              <w:t>≤6.0ms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3"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自旋回波最短TE（256X256矩阵）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≤2.0ms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快速自旋回波最短TR（128X128矩阵）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≤5.0ms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快速自旋回波最短TE（128X128矩阵）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≤1.6ms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快速自旋回波最短TR（256X256矩阵）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≤5.5ms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快速自旋回波最短TE（256X256矩阵）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≤1.8ms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2D快速梯度回波最短TE（128X128矩阵）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≤0.3ms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14.14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2D快速梯度回波最短TE（256X256矩阵）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≤0.4ms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3D快速梯度回波最短TE（128X128矩阵）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≤0.22ms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3D快速梯度回波最短TE（256X256矩阵）</w:t>
            </w:r>
          </w:p>
        </w:tc>
        <w:tc>
          <w:tcPr>
            <w:tcW w:w="1511" w:type="pct"/>
            <w:vAlign w:val="center"/>
          </w:tcPr>
          <w:p>
            <w:pPr>
              <w:jc w:val="left"/>
              <w:rPr>
                <w:rFonts w:ascii="宋体" w:hAnsi="宋体" w:eastAsia="宋体" w:cs="宋体"/>
                <w:sz w:val="24"/>
              </w:rPr>
            </w:pPr>
            <w:r>
              <w:rPr>
                <w:rFonts w:hint="eastAsia" w:ascii="宋体" w:hAnsi="宋体" w:eastAsia="宋体" w:cs="宋体"/>
                <w:sz w:val="24"/>
              </w:rPr>
              <w:t>≤0.24ms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Merge w:val="restart"/>
            <w:vAlign w:val="center"/>
          </w:tcPr>
          <w:p>
            <w:pPr>
              <w:jc w:val="left"/>
              <w:rPr>
                <w:rFonts w:ascii="宋体" w:hAnsi="宋体" w:eastAsia="宋体" w:cs="宋体"/>
                <w:sz w:val="24"/>
              </w:rPr>
            </w:pPr>
            <w:r>
              <w:rPr>
                <w:rFonts w:hint="eastAsia" w:ascii="宋体" w:hAnsi="宋体" w:eastAsia="宋体" w:cs="宋体"/>
                <w:sz w:val="24"/>
              </w:rPr>
              <w:t>14.17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FSE最大回波链长度</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≥512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Merge w:val="continue"/>
            <w:vAlign w:val="center"/>
          </w:tcPr>
          <w:p>
            <w:pPr>
              <w:jc w:val="left"/>
              <w:rPr>
                <w:rFonts w:ascii="宋体" w:hAnsi="宋体" w:eastAsia="宋体" w:cs="宋体"/>
                <w:sz w:val="24"/>
              </w:rPr>
            </w:pP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TSE最大因子</w:t>
            </w:r>
          </w:p>
        </w:tc>
        <w:tc>
          <w:tcPr>
            <w:tcW w:w="1511" w:type="pct"/>
            <w:vAlign w:val="center"/>
          </w:tcPr>
          <w:p>
            <w:pPr>
              <w:jc w:val="left"/>
              <w:rPr>
                <w:rFonts w:ascii="宋体" w:hAnsi="宋体" w:eastAsia="宋体" w:cs="宋体"/>
                <w:sz w:val="24"/>
              </w:rPr>
            </w:pPr>
            <w:r>
              <w:rPr>
                <w:rFonts w:hint="eastAsia" w:ascii="宋体" w:hAnsi="宋体" w:eastAsia="宋体" w:cs="宋体"/>
                <w:sz w:val="24"/>
              </w:rPr>
              <w:t>≥512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EPI最大因子</w:t>
            </w:r>
          </w:p>
        </w:tc>
        <w:tc>
          <w:tcPr>
            <w:tcW w:w="1511" w:type="pct"/>
            <w:vAlign w:val="center"/>
          </w:tcPr>
          <w:p>
            <w:pPr>
              <w:jc w:val="left"/>
              <w:rPr>
                <w:rFonts w:ascii="宋体" w:hAnsi="宋体" w:eastAsia="宋体" w:cs="宋体"/>
                <w:sz w:val="24"/>
              </w:rPr>
            </w:pPr>
            <w:r>
              <w:rPr>
                <w:rFonts w:hint="eastAsia" w:ascii="宋体" w:hAnsi="宋体" w:eastAsia="宋体" w:cs="宋体"/>
                <w:sz w:val="24"/>
              </w:rPr>
              <w:t>≥256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14.19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最大采集矩阵</w:t>
            </w:r>
          </w:p>
        </w:tc>
        <w:tc>
          <w:tcPr>
            <w:tcW w:w="1511" w:type="pct"/>
            <w:vAlign w:val="center"/>
          </w:tcPr>
          <w:p>
            <w:pPr>
              <w:jc w:val="left"/>
              <w:rPr>
                <w:rFonts w:ascii="宋体" w:hAnsi="宋体" w:eastAsia="宋体" w:cs="宋体"/>
                <w:sz w:val="24"/>
              </w:rPr>
            </w:pPr>
            <w:r>
              <w:rPr>
                <w:rFonts w:hint="eastAsia" w:ascii="宋体" w:hAnsi="宋体" w:eastAsia="宋体" w:cs="宋体"/>
                <w:sz w:val="24"/>
                <w:lang w:val="de-DE"/>
              </w:rPr>
              <w:t>≥</w:t>
            </w:r>
            <w:r>
              <w:rPr>
                <w:rFonts w:hint="eastAsia" w:ascii="宋体" w:hAnsi="宋体" w:eastAsia="宋体" w:cs="宋体"/>
                <w:sz w:val="24"/>
              </w:rPr>
              <w:t>1024×1024</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14.20</w:t>
            </w:r>
          </w:p>
        </w:tc>
        <w:tc>
          <w:tcPr>
            <w:tcW w:w="2766" w:type="pct"/>
            <w:gridSpan w:val="2"/>
            <w:vAlign w:val="center"/>
          </w:tcPr>
          <w:p>
            <w:pPr>
              <w:jc w:val="left"/>
              <w:rPr>
                <w:rFonts w:ascii="宋体" w:hAnsi="宋体" w:eastAsia="宋体" w:cs="宋体"/>
                <w:sz w:val="24"/>
                <w:lang w:val="de-DE"/>
              </w:rPr>
            </w:pPr>
            <w:r>
              <w:rPr>
                <w:rFonts w:hint="eastAsia" w:ascii="宋体" w:hAnsi="宋体" w:eastAsia="宋体" w:cs="宋体"/>
                <w:sz w:val="24"/>
                <w:lang w:val="de-DE"/>
              </w:rPr>
              <w:t>弥散加权B值</w:t>
            </w:r>
          </w:p>
        </w:tc>
        <w:tc>
          <w:tcPr>
            <w:tcW w:w="1511" w:type="pct"/>
            <w:vAlign w:val="center"/>
          </w:tcPr>
          <w:p>
            <w:pPr>
              <w:jc w:val="left"/>
              <w:rPr>
                <w:rFonts w:ascii="宋体" w:hAnsi="宋体" w:eastAsia="宋体" w:cs="宋体"/>
                <w:sz w:val="24"/>
                <w:lang w:val="de-DE"/>
              </w:rPr>
            </w:pPr>
            <w:r>
              <w:rPr>
                <w:rFonts w:hint="eastAsia" w:ascii="宋体" w:hAnsi="宋体" w:eastAsia="宋体" w:cs="宋体"/>
                <w:sz w:val="24"/>
                <w:lang w:val="de-DE"/>
              </w:rPr>
              <w:t xml:space="preserve">≥10000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0"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15</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成像序列和技术</w:t>
            </w:r>
          </w:p>
        </w:tc>
        <w:tc>
          <w:tcPr>
            <w:tcW w:w="1511" w:type="pct"/>
            <w:tcBorders>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15.1</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自旋回波（SE）序列</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2D/3D TSE</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TSE回波分享技术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三维TSE序列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单次激发SE</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脂肪抑制序列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频率脂肪抑制</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15.1.7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水抑制序列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b/>
                <w:sz w:val="24"/>
              </w:rPr>
            </w:pPr>
            <w:r>
              <w:rPr>
                <w:rFonts w:hint="eastAsia" w:ascii="宋体" w:hAnsi="宋体" w:eastAsia="宋体" w:cs="宋体"/>
                <w:b/>
                <w:sz w:val="24"/>
              </w:rPr>
              <w:t>15.2</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反转恢复（IR）序列</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快速IR(脂肪、 水抑制）</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0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快速自由水抑制（T1、 T2FLAIR）</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0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STIR短T1压脂序列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0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单次激发快速IR</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常规反转恢复序列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真实影像反转恢复（灰白质强对比）</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脂肪/水激发技术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13"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15.2.8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翻转恢复脂肪抑制序列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具备，SPAIR 或 IDEAL 或ProSet</w:t>
            </w:r>
            <w:r>
              <w:rPr>
                <w:rFonts w:hint="eastAsia" w:ascii="宋体" w:hAnsi="宋体" w:eastAsia="宋体" w:cs="宋体"/>
                <w:sz w:val="24"/>
                <w:lang w:val="fr-FR"/>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54"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15.3</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梯度回波(GRE) 序列</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2"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15.3.1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2D/3D稳态进动梯度回波</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in-phase和out-phase成像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多回波聚合序列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具备，MEDIC 或 MERGE或m-FFE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9"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15.3.4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亚秒T1扫描序列（2D/3D）</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6"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亚秒T2扫描序列（2D/3D）</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单次多平面梯度回波序列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多回波梯度回波序列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除剩余磁化梯度回波</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利用剩余磁化梯度回波</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0"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15.3.10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重T2 加权高对比序列</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具备，TrueFISP或 FIESTA或Balanced 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15.4</w:t>
            </w:r>
          </w:p>
        </w:tc>
        <w:tc>
          <w:tcPr>
            <w:tcW w:w="2766" w:type="pct"/>
            <w:gridSpan w:val="2"/>
            <w:tcBorders>
              <w:top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平面回波(EPI)序列</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15.4.1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单次激发EPI</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15.4.2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多次激发EPI</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15.4.3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自旋回波EPI</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15.4.4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 xml:space="preserve">梯度回波EPI </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right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15.4.5</w:t>
            </w:r>
          </w:p>
        </w:tc>
        <w:tc>
          <w:tcPr>
            <w:tcW w:w="2766" w:type="pct"/>
            <w:gridSpan w:val="2"/>
            <w:tcBorders>
              <w:left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反转EPI</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16</w:t>
            </w:r>
          </w:p>
        </w:tc>
        <w:tc>
          <w:tcPr>
            <w:tcW w:w="2766" w:type="pct"/>
            <w:gridSpan w:val="2"/>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体部成像</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3"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16.1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肝脏T1加权3D高分辨动态成像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具备，3D VIBE或LAVA-XV或</w:t>
            </w:r>
          </w:p>
          <w:p>
            <w:pPr>
              <w:jc w:val="left"/>
              <w:rPr>
                <w:rFonts w:ascii="宋体" w:hAnsi="宋体" w:eastAsia="宋体" w:cs="宋体"/>
                <w:sz w:val="24"/>
              </w:rPr>
            </w:pPr>
            <w:r>
              <w:rPr>
                <w:rFonts w:hint="eastAsia" w:ascii="宋体" w:hAnsi="宋体" w:eastAsia="宋体" w:cs="宋体"/>
                <w:sz w:val="24"/>
              </w:rPr>
              <w:t>4D THRIVE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95"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多期动态扫描层面精准对位技术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具备，DynaVIBE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5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全身弥散成像软件包</w:t>
            </w:r>
          </w:p>
        </w:tc>
        <w:tc>
          <w:tcPr>
            <w:tcW w:w="1511" w:type="pct"/>
            <w:vAlign w:val="center"/>
          </w:tcPr>
          <w:p>
            <w:pPr>
              <w:jc w:val="left"/>
              <w:rPr>
                <w:rFonts w:ascii="宋体" w:hAnsi="宋体" w:eastAsia="宋体" w:cs="宋体"/>
                <w:sz w:val="24"/>
              </w:rPr>
            </w:pPr>
            <w:r>
              <w:rPr>
                <w:rFonts w:hint="eastAsia" w:ascii="宋体" w:hAnsi="宋体" w:eastAsia="宋体" w:cs="宋体"/>
                <w:sz w:val="24"/>
              </w:rPr>
              <w:t xml:space="preserve">具备，REVEAL或DWIBS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同相位/去相位水脂分离技术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具备，DIXION 或LAVA-Flex或mDIXON</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MR结肠造影技术 （亮、暗腔）</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MR胰胆管造影技术(2D/3D)</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单次激发 2D/3D水成像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呼吸导航技术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Merge w:val="restar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自由呼吸 3D水成像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Merge w:val="continue"/>
            <w:vAlign w:val="center"/>
          </w:tcPr>
          <w:p>
            <w:pPr>
              <w:adjustRightInd w:val="0"/>
              <w:jc w:val="left"/>
              <w:textAlignment w:val="baseline"/>
              <w:rPr>
                <w:rFonts w:ascii="宋体" w:hAnsi="宋体" w:eastAsia="宋体" w:cs="宋体"/>
                <w:sz w:val="24"/>
              </w:rPr>
            </w:pP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实时参量图成像技术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Merge w:val="continue"/>
            <w:vAlign w:val="center"/>
          </w:tcPr>
          <w:p>
            <w:pPr>
              <w:adjustRightInd w:val="0"/>
              <w:jc w:val="left"/>
              <w:textAlignment w:val="baseline"/>
              <w:rPr>
                <w:rFonts w:ascii="宋体" w:hAnsi="宋体" w:eastAsia="宋体" w:cs="宋体"/>
                <w:sz w:val="24"/>
              </w:rPr>
            </w:pP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实时T1参量图成像软件包</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Merge w:val="continue"/>
            <w:vAlign w:val="center"/>
          </w:tcPr>
          <w:p>
            <w:pPr>
              <w:adjustRightInd w:val="0"/>
              <w:jc w:val="left"/>
              <w:textAlignment w:val="baseline"/>
              <w:rPr>
                <w:rFonts w:ascii="宋体" w:hAnsi="宋体" w:eastAsia="宋体" w:cs="宋体"/>
                <w:sz w:val="24"/>
              </w:rPr>
            </w:pP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实时T2参量图成像软件包</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1"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动态肾脏灌注成像技术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MR尿路造影技术（2D/3D）</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6"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16.12</w:t>
            </w:r>
          </w:p>
        </w:tc>
        <w:tc>
          <w:tcPr>
            <w:tcW w:w="2766" w:type="pct"/>
            <w:gridSpan w:val="2"/>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MR脊髓造影技术（2D/3D）</w:t>
            </w:r>
          </w:p>
        </w:tc>
        <w:tc>
          <w:tcPr>
            <w:tcW w:w="1511" w:type="pct"/>
            <w:tcBorders>
              <w:lef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b/>
                <w:sz w:val="24"/>
              </w:rPr>
            </w:pPr>
            <w:r>
              <w:rPr>
                <w:rFonts w:hint="eastAsia" w:ascii="宋体" w:hAnsi="宋体" w:eastAsia="宋体" w:cs="宋体"/>
                <w:b/>
                <w:sz w:val="24"/>
              </w:rPr>
              <w:t>17</w:t>
            </w:r>
          </w:p>
        </w:tc>
        <w:tc>
          <w:tcPr>
            <w:tcW w:w="2766" w:type="pct"/>
            <w:gridSpan w:val="2"/>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神经系统成像</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17.1</w:t>
            </w:r>
          </w:p>
        </w:tc>
        <w:tc>
          <w:tcPr>
            <w:tcW w:w="2766" w:type="pct"/>
            <w:gridSpan w:val="2"/>
            <w:vAlign w:val="center"/>
          </w:tcPr>
          <w:p>
            <w:pPr>
              <w:jc w:val="left"/>
              <w:rPr>
                <w:rFonts w:ascii="宋体" w:hAnsi="宋体" w:eastAsia="宋体" w:cs="宋体"/>
                <w:b/>
                <w:sz w:val="24"/>
              </w:rPr>
            </w:pPr>
            <w:r>
              <w:rPr>
                <w:rFonts w:hint="eastAsia" w:ascii="宋体" w:hAnsi="宋体" w:eastAsia="宋体" w:cs="宋体"/>
                <w:b/>
                <w:sz w:val="24"/>
              </w:rPr>
              <w:t>弥散成像</w:t>
            </w:r>
          </w:p>
        </w:tc>
        <w:tc>
          <w:tcPr>
            <w:tcW w:w="1511" w:type="pct"/>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实时弥散技术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各向同性采集、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各向异性采集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ADC值测量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ADC-map彩图</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17.1.6</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体部脏器弥散</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17.1.7</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可选优化B值</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17.1.8</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弥散张量成像（DTI）</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17.1.9</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白质纤维束成像</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17.1.10</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DTI弥散张量方向数(单序列一次采集)</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≥256方向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17.1.11</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DSI弥散谱成像方向数</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≥514方向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17.1.12</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高清弥散成像（多次激发分段读出弥散成像）</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17.1.13</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高清弥散可应用于头部</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17.1.14</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高清弥散可应用于乳腺</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17.1.15</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高清弥散可应用于盆腔</w:t>
            </w:r>
          </w:p>
        </w:tc>
        <w:tc>
          <w:tcPr>
            <w:tcW w:w="1511" w:type="pct"/>
            <w:tcBorders>
              <w:top w:val="single" w:color="auto" w:sz="4" w:space="0"/>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b/>
                <w:sz w:val="24"/>
              </w:rPr>
            </w:pPr>
            <w:r>
              <w:rPr>
                <w:rFonts w:hint="eastAsia" w:ascii="宋体" w:hAnsi="宋体" w:eastAsia="宋体" w:cs="宋体"/>
                <w:b/>
                <w:sz w:val="24"/>
              </w:rPr>
              <w:t>17.2</w:t>
            </w:r>
          </w:p>
        </w:tc>
        <w:tc>
          <w:tcPr>
            <w:tcW w:w="2766" w:type="pct"/>
            <w:gridSpan w:val="2"/>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灌注成像</w:t>
            </w:r>
          </w:p>
        </w:tc>
        <w:tc>
          <w:tcPr>
            <w:tcW w:w="1511" w:type="pct"/>
            <w:tcBorders>
              <w:left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2D-EPI灌注成像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17.2.2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多层灌注成像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17.2.3</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rCBV分析</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17.2.4</w:t>
            </w:r>
          </w:p>
        </w:tc>
        <w:tc>
          <w:tcPr>
            <w:tcW w:w="2766"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TTP分析</w:t>
            </w:r>
          </w:p>
        </w:tc>
        <w:tc>
          <w:tcPr>
            <w:tcW w:w="151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17.2.5</w:t>
            </w:r>
          </w:p>
        </w:tc>
        <w:tc>
          <w:tcPr>
            <w:tcW w:w="2766"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MTT分析</w:t>
            </w:r>
          </w:p>
        </w:tc>
        <w:tc>
          <w:tcPr>
            <w:tcW w:w="151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17.2.6</w:t>
            </w:r>
          </w:p>
        </w:tc>
        <w:tc>
          <w:tcPr>
            <w:tcW w:w="2766" w:type="pct"/>
            <w:gridSpan w:val="2"/>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时间信号曲线</w:t>
            </w:r>
          </w:p>
        </w:tc>
        <w:tc>
          <w:tcPr>
            <w:tcW w:w="151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Merge w:val="restar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17.2.7</w:t>
            </w:r>
          </w:p>
        </w:tc>
        <w:tc>
          <w:tcPr>
            <w:tcW w:w="2766" w:type="pct"/>
            <w:gridSpan w:val="2"/>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彩色后处理功能</w:t>
            </w:r>
          </w:p>
        </w:tc>
        <w:tc>
          <w:tcPr>
            <w:tcW w:w="151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Merge w:val="continue"/>
            <w:tcBorders>
              <w:bottom w:val="single" w:color="auto" w:sz="4" w:space="0"/>
            </w:tcBorders>
            <w:vAlign w:val="center"/>
          </w:tcPr>
          <w:p>
            <w:pPr>
              <w:jc w:val="left"/>
              <w:rPr>
                <w:rFonts w:ascii="宋体" w:hAnsi="宋体" w:eastAsia="宋体" w:cs="宋体"/>
                <w:sz w:val="24"/>
              </w:rPr>
            </w:pPr>
          </w:p>
        </w:tc>
        <w:tc>
          <w:tcPr>
            <w:tcW w:w="2766" w:type="pct"/>
            <w:gridSpan w:val="2"/>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具备线上计算血流动态图</w:t>
            </w:r>
          </w:p>
        </w:tc>
        <w:tc>
          <w:tcPr>
            <w:tcW w:w="1511" w:type="pct"/>
            <w:tcBorders>
              <w:top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b/>
                <w:sz w:val="24"/>
              </w:rPr>
              <w:t>17.3</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磁敏感成像(SWI或eSWAN2.0或SWIp)</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17.3.1</w:t>
            </w:r>
          </w:p>
        </w:tc>
        <w:tc>
          <w:tcPr>
            <w:tcW w:w="2766"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可兼容并行采集</w:t>
            </w:r>
          </w:p>
        </w:tc>
        <w:tc>
          <w:tcPr>
            <w:tcW w:w="151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17.3.2</w:t>
            </w:r>
          </w:p>
        </w:tc>
        <w:tc>
          <w:tcPr>
            <w:tcW w:w="2766"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SWI实时磁矩图成像技术</w:t>
            </w:r>
          </w:p>
        </w:tc>
        <w:tc>
          <w:tcPr>
            <w:tcW w:w="151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17.3.3</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SWI实时相位图成像技术</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17.3.4</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SWI原始图像成像技术</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17.3.5</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mMIP图像成像技术</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17.4</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脑功能成像</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17.4.1</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血氧饱和度依赖性成像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17.4.2</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t-test后处理成像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17.5</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其他成像</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17.5.1</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全中枢神经系统成像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具备，使用一体化线圈</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17.5.2</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图像无缝拼接软件包</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具备，Composing或MobiView或MR Pasting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17.5.3</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不打药全脑灌注定量技术</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b/>
                <w:sz w:val="24"/>
              </w:rPr>
            </w:pPr>
            <w:r>
              <w:rPr>
                <w:rFonts w:hint="eastAsia" w:ascii="宋体" w:hAnsi="宋体" w:eastAsia="宋体" w:cs="宋体"/>
                <w:b/>
                <w:sz w:val="24"/>
              </w:rPr>
              <w:t>18</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心血管成像</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w:t>
            </w:r>
          </w:p>
        </w:tc>
        <w:tc>
          <w:tcPr>
            <w:tcW w:w="2766" w:type="pct"/>
            <w:gridSpan w:val="2"/>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2D/3D时飞法(TOF)血管成像</w:t>
            </w:r>
          </w:p>
        </w:tc>
        <w:tc>
          <w:tcPr>
            <w:tcW w:w="151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5"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相位对比(PC)血管成像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1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门控法TOF/PC血管成像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9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3D增强对比CE—MRA技术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2"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门静脉成像技术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实时成像技术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具备，Angio Suite或AngioCard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超快速血管造影成像技术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具备，GRAPPA 或 TRICKS- XV或4D TRACK</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98"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磁化转移（MTC）技术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造影剂实时跟踪触发技术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具备，CARE Bolus或Fluoro-Trigger MRA或Bolus track</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导航技术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7"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下肢血管造影分段跟踪成像技术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自动移床MRA</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电影回放</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最大强度投影</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多层面重建</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曲面重建</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49"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18.17</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常规心脏形态学成像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72"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18.18</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心脏回波分享技术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18.19</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快速梯度回波/快速心脏采集</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18.20</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黑血技术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18.21</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亮血技术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18.22</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正向心电触发</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18.23</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反向心电触发</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09"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18.24</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二维/三维多相位成像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18.25</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快速心脏电影</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具备，Cardiac Suite或EPI Echo Train或</w:t>
            </w:r>
          </w:p>
          <w:p>
            <w:pPr>
              <w:jc w:val="left"/>
              <w:rPr>
                <w:rFonts w:ascii="宋体" w:hAnsi="宋体" w:eastAsia="宋体" w:cs="宋体"/>
                <w:sz w:val="24"/>
              </w:rPr>
            </w:pPr>
            <w:r>
              <w:rPr>
                <w:rFonts w:hint="eastAsia" w:ascii="宋体" w:hAnsi="宋体" w:eastAsia="宋体" w:cs="宋体"/>
                <w:sz w:val="24"/>
              </w:rPr>
              <w:t>k-t BLAST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18.26</w:t>
            </w:r>
          </w:p>
        </w:tc>
        <w:tc>
          <w:tcPr>
            <w:tcW w:w="2766" w:type="pct"/>
            <w:gridSpan w:val="2"/>
            <w:vAlign w:val="center"/>
          </w:tcPr>
          <w:p>
            <w:pPr>
              <w:jc w:val="left"/>
              <w:rPr>
                <w:rFonts w:ascii="宋体" w:hAnsi="宋体" w:eastAsia="宋体" w:cs="宋体"/>
                <w:sz w:val="24"/>
              </w:rPr>
            </w:pPr>
            <w:r>
              <w:rPr>
                <w:rFonts w:hint="eastAsia" w:ascii="宋体" w:hAnsi="宋体" w:eastAsia="宋体" w:cs="宋体"/>
                <w:sz w:val="24"/>
              </w:rPr>
              <w:t>一站式心脏成像技术</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具备，BEAT 或MR Echo 或Whole Heart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18.27</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首过法灌注成像</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18.28</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自动心肌活性成像（自动选择TI时间）</w:t>
            </w:r>
          </w:p>
        </w:tc>
        <w:tc>
          <w:tcPr>
            <w:tcW w:w="1511" w:type="pct"/>
            <w:vAlign w:val="center"/>
          </w:tcPr>
          <w:p>
            <w:pPr>
              <w:jc w:val="left"/>
              <w:rPr>
                <w:rFonts w:ascii="宋体" w:hAnsi="宋体" w:eastAsia="宋体" w:cs="宋体"/>
                <w:sz w:val="24"/>
              </w:rPr>
            </w:pPr>
            <w:r>
              <w:rPr>
                <w:rFonts w:hint="eastAsia" w:ascii="宋体" w:hAnsi="宋体" w:eastAsia="宋体" w:cs="宋体"/>
                <w:sz w:val="24"/>
              </w:rPr>
              <w:t>具备，PSIR或PS-MDE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18.29</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放射采集技术</w:t>
            </w:r>
          </w:p>
        </w:tc>
        <w:tc>
          <w:tcPr>
            <w:tcW w:w="1511" w:type="pct"/>
            <w:tcBorders>
              <w:lef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18.30</w:t>
            </w:r>
          </w:p>
        </w:tc>
        <w:tc>
          <w:tcPr>
            <w:tcW w:w="2766" w:type="pct"/>
            <w:gridSpan w:val="2"/>
            <w:tcBorders>
              <w:top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双斜位成像</w:t>
            </w:r>
          </w:p>
        </w:tc>
        <w:tc>
          <w:tcPr>
            <w:tcW w:w="1511" w:type="pct"/>
            <w:tcBorders>
              <w:lef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b/>
                <w:sz w:val="24"/>
              </w:rPr>
            </w:pPr>
            <w:r>
              <w:rPr>
                <w:rFonts w:hint="eastAsia" w:ascii="宋体" w:hAnsi="宋体" w:eastAsia="宋体" w:cs="宋体"/>
                <w:b/>
                <w:sz w:val="24"/>
              </w:rPr>
              <w:t>19</w:t>
            </w:r>
          </w:p>
        </w:tc>
        <w:tc>
          <w:tcPr>
            <w:tcW w:w="2766" w:type="pct"/>
            <w:gridSpan w:val="2"/>
            <w:tcBorders>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波谱成像</w:t>
            </w:r>
          </w:p>
        </w:tc>
        <w:tc>
          <w:tcPr>
            <w:tcW w:w="1511" w:type="pct"/>
            <w:tcBorders>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自动匀场方式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2"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19.2</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手动匀场方式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58"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19.3</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自动水抑制技术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19.4</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自动频谱分析</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4"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19.5</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实时频谱分析及实时显示</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19.6</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高级频谱分析后处理软件</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18"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19.7</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用户可编辑后处理程序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0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19.8</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2D和3D频谱成像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19.9</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单体素和多体素频谱成像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19.10</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PRESS技术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19.11</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STEAM技术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19.12</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代谢产物浓度分布彩图</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19.13</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代谢产物比例地图</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19.14</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外周容积脂肪抑制技术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19.15</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半自动匀场方式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19.16</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快速频谱成像技术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19.17</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三维脑频谱成像</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19.18</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化学位移成像(2D/3D CSI)</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19.19</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多通道矩阵线圈完成头颅频谱</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19.20</w:t>
            </w:r>
          </w:p>
        </w:tc>
        <w:tc>
          <w:tcPr>
            <w:tcW w:w="2766" w:type="pct"/>
            <w:gridSpan w:val="2"/>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多通道体表矩阵线圈完成前列腺频谱或同类技术</w:t>
            </w:r>
          </w:p>
        </w:tc>
        <w:tc>
          <w:tcPr>
            <w:tcW w:w="1511" w:type="pct"/>
            <w:tcBorders>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b/>
                <w:sz w:val="24"/>
              </w:rPr>
            </w:pPr>
            <w:r>
              <w:rPr>
                <w:rFonts w:hint="eastAsia" w:ascii="宋体" w:hAnsi="宋体" w:eastAsia="宋体" w:cs="宋体"/>
                <w:b/>
                <w:sz w:val="24"/>
              </w:rPr>
              <w:t>20</w:t>
            </w:r>
          </w:p>
        </w:tc>
        <w:tc>
          <w:tcPr>
            <w:tcW w:w="2766" w:type="pct"/>
            <w:gridSpan w:val="2"/>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骨关节成像</w:t>
            </w:r>
          </w:p>
        </w:tc>
        <w:tc>
          <w:tcPr>
            <w:tcW w:w="1511"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20.1</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3D各向同性容积成像序列</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具备，SPACE或CUBE 或VISTA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20.2</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高分辨率颈髓成像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具备，MEDIC 或 MERGE或m-FFE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20.3</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高分辨率内耳三维成像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具备，CISS或FIESTA-C</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20.4</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全脊柱成像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20.5</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图像无缝拼接软件包</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sz w:val="24"/>
              </w:rPr>
              <w:t>具备，Composing或MobiView或MR Pasting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20.6</w:t>
            </w:r>
          </w:p>
        </w:tc>
        <w:tc>
          <w:tcPr>
            <w:tcW w:w="2766" w:type="pct"/>
            <w:gridSpan w:val="2"/>
            <w:tcBorders>
              <w:top w:val="single" w:color="auto" w:sz="4" w:space="0"/>
              <w:bottom w:val="single" w:color="auto" w:sz="4" w:space="0"/>
              <w:right w:val="single" w:color="auto" w:sz="4" w:space="0"/>
            </w:tcBorders>
            <w:vAlign w:val="center"/>
          </w:tcPr>
          <w:p>
            <w:pPr>
              <w:rPr>
                <w:rFonts w:ascii="宋体" w:hAnsi="宋体" w:eastAsia="宋体" w:cs="宋体"/>
                <w:bCs/>
                <w:sz w:val="24"/>
              </w:rPr>
            </w:pPr>
            <w:r>
              <w:rPr>
                <w:rFonts w:hint="eastAsia" w:ascii="宋体" w:hAnsi="宋体" w:eastAsia="宋体" w:cs="宋体"/>
                <w:bCs/>
                <w:sz w:val="24"/>
              </w:rPr>
              <w:t>关节软骨成像</w:t>
            </w:r>
          </w:p>
        </w:tc>
        <w:tc>
          <w:tcPr>
            <w:tcW w:w="1511"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具备，3D DESS或CartiGram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991" w:hRule="atLeast"/>
          <w:jc w:val="center"/>
        </w:trPr>
        <w:tc>
          <w:tcPr>
            <w:tcW w:w="721" w:type="pct"/>
            <w:tcBorders>
              <w:top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21</w:t>
            </w:r>
          </w:p>
        </w:tc>
        <w:tc>
          <w:tcPr>
            <w:tcW w:w="4278" w:type="pct"/>
            <w:gridSpan w:val="3"/>
            <w:tcBorders>
              <w:top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各个厂家必须提供各自最新软件和功能:</w:t>
            </w:r>
          </w:p>
          <w:p>
            <w:pPr>
              <w:jc w:val="left"/>
              <w:rPr>
                <w:rFonts w:ascii="宋体" w:hAnsi="宋体" w:eastAsia="宋体" w:cs="宋体"/>
                <w:sz w:val="24"/>
              </w:rPr>
            </w:pPr>
            <w:r>
              <w:rPr>
                <w:rFonts w:hint="eastAsia" w:ascii="宋体" w:hAnsi="宋体" w:eastAsia="宋体" w:cs="宋体"/>
                <w:sz w:val="24"/>
              </w:rPr>
              <w:t>如果是西门子公司，请提供：Tim高级功能软件包（包括：BLADE，BEAT，CISS，DESS，REVEAL，Phoenix，PhoenixZIP，VIBE，DynaVIBE，DIXON，SPACE</w:t>
            </w:r>
            <w:bookmarkStart w:id="4" w:name="OLE_LINK2"/>
            <w:bookmarkStart w:id="5" w:name="OLE_LINK3"/>
            <w:r>
              <w:rPr>
                <w:rFonts w:hint="eastAsia" w:ascii="宋体" w:hAnsi="宋体" w:eastAsia="宋体" w:cs="宋体"/>
                <w:sz w:val="24"/>
              </w:rPr>
              <w:t>，</w:t>
            </w:r>
            <w:bookmarkEnd w:id="4"/>
            <w:bookmarkEnd w:id="5"/>
            <w:r>
              <w:rPr>
                <w:rFonts w:hint="eastAsia" w:ascii="宋体" w:hAnsi="宋体" w:eastAsia="宋体" w:cs="宋体"/>
                <w:sz w:val="24"/>
              </w:rPr>
              <w:t>GRAPPA， SWI，PSIR）</w:t>
            </w:r>
          </w:p>
          <w:p>
            <w:pPr>
              <w:jc w:val="left"/>
              <w:rPr>
                <w:rFonts w:ascii="宋体" w:hAnsi="宋体" w:eastAsia="宋体" w:cs="宋体"/>
                <w:sz w:val="24"/>
              </w:rPr>
            </w:pPr>
            <w:r>
              <w:rPr>
                <w:rFonts w:hint="eastAsia" w:ascii="宋体" w:hAnsi="宋体" w:eastAsia="宋体" w:cs="宋体"/>
                <w:sz w:val="24"/>
              </w:rPr>
              <w:t>如果是GE公司，请提供：GEM高级功能（包括：Propeller 3.0, LAVA-XV，Tricks-XV，VIBRANT-XV，IDEAL,LAVA-Flex，Brainstat，Cartigram，eSWAN2.0，CUBE 2.0, Inhance suit 2.0， Starmap，MAVRIC SL，MUSE，DCE-MR Diagnostic Image Processing Software,Silenz，brainwave RT, Brainwave PA， ReportCARD）</w:t>
            </w:r>
          </w:p>
          <w:p>
            <w:pPr>
              <w:jc w:val="left"/>
              <w:rPr>
                <w:rFonts w:ascii="宋体" w:hAnsi="宋体" w:eastAsia="宋体" w:cs="宋体"/>
                <w:sz w:val="24"/>
              </w:rPr>
            </w:pPr>
            <w:r>
              <w:rPr>
                <w:rFonts w:hint="eastAsia" w:ascii="宋体" w:hAnsi="宋体" w:eastAsia="宋体" w:cs="宋体"/>
                <w:sz w:val="24"/>
              </w:rPr>
              <w:t>如果是飞利浦公司，请提供：dStream高级功能（包括：Whole Heart Imaging，4D Trak，2048矩阵采集，Smart Exam head，Smart Exam Knee，Smart Exam Spine ，Smart Exam Shoulder ，Smart Exam Breast ，DWIBS，4D THRIVE，K-tBlast，Sense Spectro，Fiber Trak，ASL，TRANCE，B-TRANCE,Whole Body imaging，Mobiview，Multivane XD，mDIXON，128方向DTI）</w:t>
            </w:r>
          </w:p>
          <w:p>
            <w:pPr>
              <w:jc w:val="left"/>
              <w:rPr>
                <w:rFonts w:ascii="宋体" w:hAnsi="宋体" w:eastAsia="宋体" w:cs="宋体"/>
                <w:b/>
                <w:sz w:val="24"/>
              </w:rPr>
            </w:pPr>
            <w:r>
              <w:rPr>
                <w:rFonts w:hint="eastAsia" w:ascii="宋体" w:hAnsi="宋体" w:eastAsia="宋体" w:cs="宋体"/>
                <w:sz w:val="24"/>
              </w:rPr>
              <w:t>其他类似。</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22</w:t>
            </w:r>
          </w:p>
        </w:tc>
        <w:tc>
          <w:tcPr>
            <w:tcW w:w="1533" w:type="pct"/>
            <w:tcBorders>
              <w:top w:val="single" w:color="auto" w:sz="4" w:space="0"/>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并行采集技术</w:t>
            </w:r>
          </w:p>
        </w:tc>
        <w:tc>
          <w:tcPr>
            <w:tcW w:w="2745" w:type="pct"/>
            <w:gridSpan w:val="2"/>
            <w:tcBorders>
              <w:top w:val="single" w:color="auto" w:sz="4" w:space="0"/>
              <w:left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22.1</w:t>
            </w:r>
          </w:p>
        </w:tc>
        <w:tc>
          <w:tcPr>
            <w:tcW w:w="1533" w:type="pct"/>
            <w:tcBorders>
              <w:top w:val="single" w:color="auto" w:sz="4" w:space="0"/>
            </w:tcBorders>
            <w:vAlign w:val="center"/>
          </w:tcPr>
          <w:p>
            <w:pPr>
              <w:jc w:val="left"/>
              <w:rPr>
                <w:rFonts w:ascii="宋体" w:hAnsi="宋体" w:eastAsia="宋体" w:cs="宋体"/>
                <w:bCs/>
                <w:sz w:val="24"/>
              </w:rPr>
            </w:pPr>
            <w:r>
              <w:rPr>
                <w:rFonts w:hint="eastAsia" w:ascii="宋体" w:hAnsi="宋体" w:eastAsia="宋体" w:cs="宋体"/>
                <w:bCs/>
                <w:sz w:val="24"/>
              </w:rPr>
              <w:t>基于图像算法</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具备，mSENSE或ASSET或SENSE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22.2</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基于k-空间算法</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具备，GRAPPA或ARC</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22.3</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基于两个相位编码方向同时加速算法</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具备，CAIPIRINHA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22.4</w:t>
            </w:r>
          </w:p>
        </w:tc>
        <w:tc>
          <w:tcPr>
            <w:tcW w:w="1533" w:type="pct"/>
            <w:tcBorders>
              <w:top w:val="single" w:color="000000" w:sz="6"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并行采集加速因子</w:t>
            </w:r>
          </w:p>
        </w:tc>
        <w:tc>
          <w:tcPr>
            <w:tcW w:w="2745" w:type="pct"/>
            <w:gridSpan w:val="2"/>
            <w:tcBorders>
              <w:top w:val="single" w:color="000000" w:sz="6"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22.5</w:t>
            </w:r>
          </w:p>
        </w:tc>
        <w:tc>
          <w:tcPr>
            <w:tcW w:w="1533" w:type="pct"/>
            <w:tcBorders>
              <w:top w:val="single" w:color="000000" w:sz="6"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与并行采集技术兼容的射频线圈</w:t>
            </w:r>
          </w:p>
        </w:tc>
        <w:tc>
          <w:tcPr>
            <w:tcW w:w="2745" w:type="pct"/>
            <w:gridSpan w:val="2"/>
            <w:tcBorders>
              <w:top w:val="single" w:color="000000" w:sz="6"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全面兼容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22.6</w:t>
            </w:r>
          </w:p>
        </w:tc>
        <w:tc>
          <w:tcPr>
            <w:tcW w:w="1533" w:type="pct"/>
            <w:tcBorders>
              <w:top w:val="single" w:color="000000" w:sz="6" w:space="0"/>
              <w:bottom w:val="single" w:color="000000" w:sz="6" w:space="0"/>
            </w:tcBorders>
            <w:vAlign w:val="center"/>
          </w:tcPr>
          <w:p>
            <w:pPr>
              <w:jc w:val="left"/>
              <w:rPr>
                <w:rFonts w:ascii="宋体" w:hAnsi="宋体" w:eastAsia="宋体" w:cs="宋体"/>
                <w:bCs/>
                <w:sz w:val="24"/>
              </w:rPr>
            </w:pPr>
            <w:bookmarkStart w:id="6" w:name="OLE_LINK9"/>
            <w:bookmarkStart w:id="7" w:name="OLE_LINK10"/>
            <w:r>
              <w:rPr>
                <w:rFonts w:hint="eastAsia" w:ascii="宋体" w:hAnsi="宋体" w:eastAsia="宋体" w:cs="宋体"/>
                <w:bCs/>
                <w:sz w:val="24"/>
              </w:rPr>
              <w:t>与并行采集技术</w:t>
            </w:r>
            <w:bookmarkEnd w:id="6"/>
            <w:bookmarkEnd w:id="7"/>
            <w:r>
              <w:rPr>
                <w:rFonts w:hint="eastAsia" w:ascii="宋体" w:hAnsi="宋体" w:eastAsia="宋体" w:cs="宋体"/>
                <w:bCs/>
                <w:sz w:val="24"/>
              </w:rPr>
              <w:t>兼容的扫描序列</w:t>
            </w:r>
          </w:p>
        </w:tc>
        <w:tc>
          <w:tcPr>
            <w:tcW w:w="2745" w:type="pct"/>
            <w:gridSpan w:val="2"/>
            <w:tcBorders>
              <w:top w:val="single" w:color="000000" w:sz="6"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全面兼容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bottom w:val="single" w:color="000000" w:sz="6"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22.7</w:t>
            </w:r>
          </w:p>
        </w:tc>
        <w:tc>
          <w:tcPr>
            <w:tcW w:w="1533" w:type="pct"/>
            <w:tcBorders>
              <w:top w:val="single" w:color="000000" w:sz="6"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并行采集自动校准技术</w:t>
            </w:r>
          </w:p>
        </w:tc>
        <w:tc>
          <w:tcPr>
            <w:tcW w:w="2745" w:type="pct"/>
            <w:gridSpan w:val="2"/>
            <w:tcBorders>
              <w:top w:val="single" w:color="000000" w:sz="6"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01" w:hRule="atLeast"/>
          <w:jc w:val="center"/>
        </w:trPr>
        <w:tc>
          <w:tcPr>
            <w:tcW w:w="721" w:type="pct"/>
            <w:tcBorders>
              <w:top w:val="single" w:color="000000" w:sz="6" w:space="0"/>
              <w:bottom w:val="single" w:color="000000" w:sz="6" w:space="0"/>
              <w:right w:val="single" w:color="auto" w:sz="4" w:space="0"/>
            </w:tcBorders>
            <w:vAlign w:val="center"/>
          </w:tcPr>
          <w:p>
            <w:pPr>
              <w:adjustRightInd w:val="0"/>
              <w:jc w:val="left"/>
              <w:textAlignment w:val="baseline"/>
              <w:rPr>
                <w:rFonts w:ascii="宋体" w:hAnsi="宋体" w:eastAsia="宋体" w:cs="宋体"/>
                <w:sz w:val="24"/>
              </w:rPr>
            </w:pPr>
            <w:r>
              <w:rPr>
                <w:rFonts w:hint="eastAsia" w:ascii="宋体" w:hAnsi="宋体" w:eastAsia="宋体" w:cs="宋体"/>
                <w:sz w:val="24"/>
              </w:rPr>
              <w:t>22.8</w:t>
            </w:r>
          </w:p>
        </w:tc>
        <w:tc>
          <w:tcPr>
            <w:tcW w:w="1533" w:type="pct"/>
            <w:tcBorders>
              <w:top w:val="single" w:color="000000" w:sz="6" w:space="0"/>
              <w:left w:val="single" w:color="auto" w:sz="4" w:space="0"/>
              <w:bottom w:val="single" w:color="000000" w:sz="6" w:space="0"/>
              <w:right w:val="single" w:color="auto" w:sz="4" w:space="0"/>
            </w:tcBorders>
            <w:vAlign w:val="center"/>
          </w:tcPr>
          <w:p>
            <w:pPr>
              <w:jc w:val="left"/>
              <w:rPr>
                <w:rFonts w:ascii="宋体" w:hAnsi="宋体" w:eastAsia="宋体" w:cs="宋体"/>
                <w:bCs/>
                <w:sz w:val="24"/>
              </w:rPr>
            </w:pPr>
            <w:r>
              <w:rPr>
                <w:rFonts w:hint="eastAsia" w:ascii="宋体" w:hAnsi="宋体" w:eastAsia="宋体" w:cs="宋体"/>
                <w:bCs/>
                <w:sz w:val="24"/>
              </w:rPr>
              <w:t>并行采集因子施加方向</w:t>
            </w:r>
          </w:p>
        </w:tc>
        <w:tc>
          <w:tcPr>
            <w:tcW w:w="2745" w:type="pct"/>
            <w:gridSpan w:val="2"/>
            <w:tcBorders>
              <w:top w:val="single" w:color="000000" w:sz="6" w:space="0"/>
              <w:left w:val="single" w:color="auto" w:sz="4" w:space="0"/>
              <w:bottom w:val="single" w:color="000000" w:sz="6"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X、 Y、Z轴三方向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23</w:t>
            </w:r>
          </w:p>
        </w:tc>
        <w:tc>
          <w:tcPr>
            <w:tcW w:w="1533" w:type="pct"/>
            <w:tcBorders>
              <w:top w:val="single" w:color="auto" w:sz="4" w:space="0"/>
              <w:left w:val="single" w:color="auto" w:sz="4" w:space="0"/>
              <w:bottom w:val="single" w:color="000000" w:sz="6" w:space="0"/>
              <w:right w:val="single" w:color="auto" w:sz="4" w:space="0"/>
            </w:tcBorders>
            <w:vAlign w:val="center"/>
          </w:tcPr>
          <w:p>
            <w:pPr>
              <w:jc w:val="left"/>
              <w:rPr>
                <w:rFonts w:ascii="宋体" w:hAnsi="宋体" w:eastAsia="宋体" w:cs="宋体"/>
                <w:sz w:val="24"/>
              </w:rPr>
            </w:pPr>
            <w:r>
              <w:rPr>
                <w:rFonts w:hint="eastAsia" w:ascii="宋体" w:hAnsi="宋体" w:eastAsia="宋体" w:cs="宋体"/>
                <w:b/>
                <w:sz w:val="24"/>
              </w:rPr>
              <w:t>伪影校正技术</w:t>
            </w:r>
          </w:p>
        </w:tc>
        <w:tc>
          <w:tcPr>
            <w:tcW w:w="2745" w:type="pct"/>
            <w:gridSpan w:val="2"/>
            <w:tcBorders>
              <w:top w:val="single" w:color="auto" w:sz="4" w:space="0"/>
              <w:left w:val="single" w:color="auto" w:sz="4" w:space="0"/>
              <w:bottom w:val="single" w:color="000000" w:sz="6" w:space="0"/>
              <w:right w:val="single" w:color="auto" w:sz="4" w:space="0"/>
            </w:tcBorders>
            <w:vAlign w:val="center"/>
          </w:tcPr>
          <w:p>
            <w:pPr>
              <w:jc w:val="left"/>
              <w:rPr>
                <w:rFonts w:ascii="宋体" w:hAnsi="宋体" w:eastAsia="宋体" w:cs="宋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流体补偿</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23.2</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呼吸补偿</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23.3</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头部伪影矫正</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23.4</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去金属伪影技术</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具备，BLADE或</w:t>
            </w:r>
            <w:bookmarkStart w:id="8" w:name="OLE_LINK8"/>
            <w:bookmarkStart w:id="9" w:name="OLE_LINK7"/>
            <w:r>
              <w:rPr>
                <w:rFonts w:hint="eastAsia" w:ascii="宋体" w:hAnsi="宋体" w:eastAsia="宋体" w:cs="宋体"/>
                <w:sz w:val="24"/>
              </w:rPr>
              <w:t>MAVRIC SL</w:t>
            </w:r>
            <w:bookmarkEnd w:id="8"/>
            <w:bookmarkEnd w:id="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23.5</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消除磁敏感伪影</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23.6</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卷积伪影去除</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8"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23.7</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前瞻性运动伪影校正</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23.8</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回顾性运动伪影校正</w:t>
            </w:r>
          </w:p>
        </w:tc>
        <w:tc>
          <w:tcPr>
            <w:tcW w:w="2745" w:type="pct"/>
            <w:gridSpan w:val="2"/>
            <w:tcBorders>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23.9</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抑制头部运动伪影</w:t>
            </w:r>
          </w:p>
        </w:tc>
        <w:tc>
          <w:tcPr>
            <w:tcW w:w="2745" w:type="pct"/>
            <w:gridSpan w:val="2"/>
            <w:tcBorders>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2.0</w:t>
            </w:r>
            <w:r>
              <w:rPr>
                <w:rFonts w:hint="eastAsia" w:ascii="宋体" w:hAnsi="宋体" w:eastAsia="宋体" w:cs="宋体"/>
                <w:bCs/>
                <w:sz w:val="24"/>
              </w:rPr>
              <w:t>或</w:t>
            </w:r>
            <w:r>
              <w:rPr>
                <w:rFonts w:hint="eastAsia" w:ascii="宋体" w:hAnsi="宋体" w:eastAsia="宋体" w:cs="宋体"/>
                <w:sz w:val="24"/>
              </w:rPr>
              <w:t xml:space="preserve">Multivane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23.10</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抑制腹部运动伪影</w:t>
            </w:r>
          </w:p>
        </w:tc>
        <w:tc>
          <w:tcPr>
            <w:tcW w:w="2745" w:type="pct"/>
            <w:gridSpan w:val="2"/>
            <w:tcBorders>
              <w:bottom w:val="single" w:color="000000" w:sz="6" w:space="0"/>
            </w:tcBorders>
          </w:tcPr>
          <w:p>
            <w:pPr>
              <w:jc w:val="left"/>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23.11</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抑制关节运动伪影</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23.12</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抑制颈部运动伪影</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23.13</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可应用于T1像</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23.14</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可应用于T2像</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23.15</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可应用于黑水像</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23.16</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可应用于冠状位</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23.17</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可应用于矢状位</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1" w:hRule="atLeast"/>
          <w:jc w:val="center"/>
        </w:trPr>
        <w:tc>
          <w:tcPr>
            <w:tcW w:w="721" w:type="pct"/>
            <w:tcBorders>
              <w:top w:val="single" w:color="auto" w:sz="4" w:space="0"/>
              <w:bottom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23.18</w:t>
            </w:r>
          </w:p>
        </w:tc>
        <w:tc>
          <w:tcPr>
            <w:tcW w:w="1533" w:type="pct"/>
            <w:tcBorders>
              <w:top w:val="single" w:color="auto" w:sz="4" w:space="0"/>
              <w:bottom w:val="single" w:color="000000" w:sz="6" w:space="0"/>
            </w:tcBorders>
            <w:vAlign w:val="center"/>
          </w:tcPr>
          <w:p>
            <w:pPr>
              <w:jc w:val="left"/>
              <w:rPr>
                <w:rFonts w:ascii="宋体" w:hAnsi="宋体" w:eastAsia="宋体" w:cs="宋体"/>
                <w:bCs/>
                <w:sz w:val="24"/>
              </w:rPr>
            </w:pPr>
            <w:r>
              <w:rPr>
                <w:rFonts w:hint="eastAsia" w:ascii="宋体" w:hAnsi="宋体" w:eastAsia="宋体" w:cs="宋体"/>
                <w:bCs/>
                <w:sz w:val="24"/>
              </w:rPr>
              <w:t>可应用于横断位</w:t>
            </w:r>
          </w:p>
        </w:tc>
        <w:tc>
          <w:tcPr>
            <w:tcW w:w="2745" w:type="pct"/>
            <w:gridSpan w:val="2"/>
            <w:tcBorders>
              <w:bottom w:val="single" w:color="000000" w:sz="6" w:space="0"/>
            </w:tcBorders>
          </w:tcPr>
          <w:p>
            <w:pPr>
              <w:rPr>
                <w:rFonts w:ascii="宋体" w:hAnsi="宋体" w:eastAsia="宋体" w:cs="宋体"/>
                <w:sz w:val="24"/>
              </w:rPr>
            </w:pPr>
            <w:r>
              <w:rPr>
                <w:rFonts w:hint="eastAsia" w:ascii="宋体" w:hAnsi="宋体" w:eastAsia="宋体" w:cs="宋体"/>
                <w:bCs/>
                <w:sz w:val="24"/>
              </w:rPr>
              <w:t>提供，</w:t>
            </w:r>
            <w:r>
              <w:rPr>
                <w:rFonts w:hint="eastAsia" w:ascii="宋体" w:hAnsi="宋体" w:eastAsia="宋体" w:cs="宋体"/>
                <w:sz w:val="24"/>
              </w:rPr>
              <w:t>BLADE</w:t>
            </w:r>
            <w:r>
              <w:rPr>
                <w:rFonts w:hint="eastAsia" w:ascii="宋体" w:hAnsi="宋体" w:eastAsia="宋体" w:cs="宋体"/>
                <w:bCs/>
                <w:sz w:val="24"/>
              </w:rPr>
              <w:t>或</w:t>
            </w:r>
            <w:r>
              <w:rPr>
                <w:rFonts w:hint="eastAsia" w:ascii="宋体" w:hAnsi="宋体" w:eastAsia="宋体" w:cs="宋体"/>
                <w:sz w:val="24"/>
              </w:rPr>
              <w:t>PROPELLOR 3.0</w:t>
            </w:r>
            <w:r>
              <w:rPr>
                <w:rFonts w:hint="eastAsia" w:ascii="宋体" w:hAnsi="宋体" w:eastAsia="宋体" w:cs="宋体"/>
                <w:bCs/>
                <w:sz w:val="24"/>
              </w:rPr>
              <w:t>或</w:t>
            </w:r>
            <w:r>
              <w:rPr>
                <w:rFonts w:hint="eastAsia" w:ascii="宋体" w:hAnsi="宋体" w:eastAsia="宋体" w:cs="宋体"/>
                <w:sz w:val="24"/>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bottom w:val="single" w:color="000000" w:sz="6"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24</w:t>
            </w:r>
          </w:p>
        </w:tc>
        <w:tc>
          <w:tcPr>
            <w:tcW w:w="1533" w:type="pct"/>
            <w:tcBorders>
              <w:top w:val="single" w:color="000000" w:sz="6" w:space="0"/>
              <w:left w:val="single" w:color="auto" w:sz="4" w:space="0"/>
              <w:bottom w:val="single" w:color="000000" w:sz="6"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其他先进技术</w:t>
            </w:r>
          </w:p>
        </w:tc>
        <w:tc>
          <w:tcPr>
            <w:tcW w:w="2745" w:type="pct"/>
            <w:gridSpan w:val="2"/>
            <w:tcBorders>
              <w:top w:val="single" w:color="000000" w:sz="6" w:space="0"/>
              <w:left w:val="single" w:color="auto" w:sz="4" w:space="0"/>
              <w:bottom w:val="single" w:color="000000" w:sz="6"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24.1</w:t>
            </w:r>
          </w:p>
        </w:tc>
        <w:tc>
          <w:tcPr>
            <w:tcW w:w="1533" w:type="pct"/>
            <w:tcBorders>
              <w:top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自动和手动滤波</w:t>
            </w:r>
          </w:p>
        </w:tc>
        <w:tc>
          <w:tcPr>
            <w:tcW w:w="2745" w:type="pct"/>
            <w:gridSpan w:val="2"/>
            <w:tcBorders>
              <w:top w:val="single" w:color="000000" w:sz="6"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w:t>
            </w:r>
          </w:p>
        </w:tc>
        <w:tc>
          <w:tcPr>
            <w:tcW w:w="1533" w:type="pct"/>
            <w:vAlign w:val="center"/>
          </w:tcPr>
          <w:p>
            <w:pPr>
              <w:jc w:val="left"/>
              <w:rPr>
                <w:rFonts w:ascii="宋体" w:hAnsi="宋体" w:eastAsia="宋体" w:cs="宋体"/>
                <w:sz w:val="24"/>
              </w:rPr>
            </w:pPr>
            <w:r>
              <w:rPr>
                <w:rFonts w:hint="eastAsia" w:ascii="宋体" w:hAnsi="宋体" w:eastAsia="宋体" w:cs="宋体"/>
                <w:sz w:val="24"/>
              </w:rPr>
              <w:t>实时交互式成像</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24.3</w:t>
            </w:r>
          </w:p>
        </w:tc>
        <w:tc>
          <w:tcPr>
            <w:tcW w:w="1533" w:type="pct"/>
            <w:vAlign w:val="center"/>
          </w:tcPr>
          <w:p>
            <w:pPr>
              <w:jc w:val="left"/>
              <w:rPr>
                <w:rFonts w:ascii="宋体" w:hAnsi="宋体" w:eastAsia="宋体" w:cs="宋体"/>
                <w:sz w:val="24"/>
              </w:rPr>
            </w:pPr>
            <w:r>
              <w:rPr>
                <w:rFonts w:hint="eastAsia" w:ascii="宋体" w:hAnsi="宋体" w:eastAsia="宋体" w:cs="宋体"/>
                <w:sz w:val="24"/>
              </w:rPr>
              <w:t>三维定位系统</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42"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24.4</w:t>
            </w:r>
          </w:p>
        </w:tc>
        <w:tc>
          <w:tcPr>
            <w:tcW w:w="1533" w:type="pct"/>
            <w:vAlign w:val="center"/>
          </w:tcPr>
          <w:p>
            <w:pPr>
              <w:jc w:val="left"/>
              <w:rPr>
                <w:rFonts w:ascii="宋体" w:hAnsi="宋体" w:eastAsia="宋体" w:cs="宋体"/>
                <w:sz w:val="24"/>
              </w:rPr>
            </w:pPr>
            <w:r>
              <w:rPr>
                <w:rFonts w:hint="eastAsia" w:ascii="宋体" w:hAnsi="宋体" w:eastAsia="宋体" w:cs="宋体"/>
                <w:sz w:val="24"/>
              </w:rPr>
              <w:t>频率编码方向扩大采集</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92"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24.5</w:t>
            </w:r>
          </w:p>
        </w:tc>
        <w:tc>
          <w:tcPr>
            <w:tcW w:w="1533" w:type="pct"/>
            <w:vAlign w:val="center"/>
          </w:tcPr>
          <w:p>
            <w:pPr>
              <w:jc w:val="left"/>
              <w:rPr>
                <w:rFonts w:ascii="宋体" w:hAnsi="宋体" w:eastAsia="宋体" w:cs="宋体"/>
                <w:sz w:val="24"/>
              </w:rPr>
            </w:pPr>
            <w:r>
              <w:rPr>
                <w:rFonts w:hint="eastAsia" w:ascii="宋体" w:hAnsi="宋体" w:eastAsia="宋体" w:cs="宋体"/>
                <w:sz w:val="24"/>
              </w:rPr>
              <w:t>相位编码方向扩大采集</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24.6</w:t>
            </w:r>
          </w:p>
        </w:tc>
        <w:tc>
          <w:tcPr>
            <w:tcW w:w="1533" w:type="pct"/>
            <w:vAlign w:val="center"/>
          </w:tcPr>
          <w:p>
            <w:pPr>
              <w:jc w:val="left"/>
              <w:rPr>
                <w:rFonts w:ascii="宋体" w:hAnsi="宋体" w:eastAsia="宋体" w:cs="宋体"/>
                <w:sz w:val="24"/>
              </w:rPr>
            </w:pPr>
            <w:r>
              <w:rPr>
                <w:rFonts w:hint="eastAsia" w:ascii="宋体" w:hAnsi="宋体" w:eastAsia="宋体" w:cs="宋体"/>
                <w:sz w:val="24"/>
              </w:rPr>
              <w:t>预饱和技术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24.7</w:t>
            </w:r>
          </w:p>
        </w:tc>
        <w:tc>
          <w:tcPr>
            <w:tcW w:w="1533" w:type="pct"/>
            <w:vAlign w:val="center"/>
          </w:tcPr>
          <w:p>
            <w:pPr>
              <w:jc w:val="left"/>
              <w:rPr>
                <w:rFonts w:ascii="宋体" w:hAnsi="宋体" w:eastAsia="宋体" w:cs="宋体"/>
                <w:sz w:val="24"/>
              </w:rPr>
            </w:pPr>
            <w:r>
              <w:rPr>
                <w:rFonts w:hint="eastAsia" w:ascii="宋体" w:hAnsi="宋体" w:eastAsia="宋体" w:cs="宋体"/>
                <w:sz w:val="24"/>
              </w:rPr>
              <w:t>饱和带数目</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24.8</w:t>
            </w:r>
          </w:p>
        </w:tc>
        <w:tc>
          <w:tcPr>
            <w:tcW w:w="1533" w:type="pct"/>
            <w:vAlign w:val="center"/>
          </w:tcPr>
          <w:p>
            <w:pPr>
              <w:jc w:val="left"/>
              <w:rPr>
                <w:rFonts w:ascii="宋体" w:hAnsi="宋体" w:eastAsia="宋体" w:cs="宋体"/>
                <w:sz w:val="24"/>
              </w:rPr>
            </w:pPr>
            <w:r>
              <w:rPr>
                <w:rFonts w:hint="eastAsia" w:ascii="宋体" w:hAnsi="宋体" w:eastAsia="宋体" w:cs="宋体"/>
                <w:sz w:val="24"/>
              </w:rPr>
              <w:t>脂肪饱和技术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24.9</w:t>
            </w:r>
          </w:p>
        </w:tc>
        <w:tc>
          <w:tcPr>
            <w:tcW w:w="1533" w:type="pct"/>
            <w:vAlign w:val="center"/>
          </w:tcPr>
          <w:p>
            <w:pPr>
              <w:jc w:val="left"/>
              <w:rPr>
                <w:rFonts w:ascii="宋体" w:hAnsi="宋体" w:eastAsia="宋体" w:cs="宋体"/>
                <w:sz w:val="24"/>
              </w:rPr>
            </w:pPr>
            <w:r>
              <w:rPr>
                <w:rFonts w:hint="eastAsia" w:ascii="宋体" w:hAnsi="宋体" w:eastAsia="宋体" w:cs="宋体"/>
                <w:sz w:val="24"/>
              </w:rPr>
              <w:t>水饱和技术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24.10</w:t>
            </w:r>
          </w:p>
        </w:tc>
        <w:tc>
          <w:tcPr>
            <w:tcW w:w="1533" w:type="pct"/>
            <w:vAlign w:val="center"/>
          </w:tcPr>
          <w:p>
            <w:pPr>
              <w:jc w:val="left"/>
              <w:rPr>
                <w:rFonts w:ascii="宋体" w:hAnsi="宋体" w:eastAsia="宋体" w:cs="宋体"/>
                <w:sz w:val="24"/>
              </w:rPr>
            </w:pPr>
            <w:r>
              <w:rPr>
                <w:rFonts w:hint="eastAsia" w:ascii="宋体" w:hAnsi="宋体" w:eastAsia="宋体" w:cs="宋体"/>
                <w:sz w:val="24"/>
              </w:rPr>
              <w:t>水激发技术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24.11</w:t>
            </w:r>
          </w:p>
        </w:tc>
        <w:tc>
          <w:tcPr>
            <w:tcW w:w="1533" w:type="pct"/>
            <w:vAlign w:val="center"/>
          </w:tcPr>
          <w:p>
            <w:pPr>
              <w:jc w:val="left"/>
              <w:rPr>
                <w:rFonts w:ascii="宋体" w:hAnsi="宋体" w:eastAsia="宋体" w:cs="宋体"/>
                <w:sz w:val="24"/>
              </w:rPr>
            </w:pPr>
            <w:r>
              <w:rPr>
                <w:rFonts w:hint="eastAsia" w:ascii="宋体" w:hAnsi="宋体" w:eastAsia="宋体" w:cs="宋体"/>
                <w:sz w:val="24"/>
              </w:rPr>
              <w:t>偏中心扫描技术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24.12</w:t>
            </w:r>
          </w:p>
        </w:tc>
        <w:tc>
          <w:tcPr>
            <w:tcW w:w="1533" w:type="pct"/>
            <w:vAlign w:val="center"/>
          </w:tcPr>
          <w:p>
            <w:pPr>
              <w:jc w:val="left"/>
              <w:rPr>
                <w:rFonts w:ascii="宋体" w:hAnsi="宋体" w:eastAsia="宋体" w:cs="宋体"/>
                <w:sz w:val="24"/>
              </w:rPr>
            </w:pPr>
            <w:r>
              <w:rPr>
                <w:rFonts w:hint="eastAsia" w:ascii="宋体" w:hAnsi="宋体" w:eastAsia="宋体" w:cs="宋体"/>
                <w:sz w:val="24"/>
              </w:rPr>
              <w:t>扫描暂停技术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24.13</w:t>
            </w:r>
          </w:p>
        </w:tc>
        <w:tc>
          <w:tcPr>
            <w:tcW w:w="1533" w:type="pct"/>
            <w:vAlign w:val="center"/>
          </w:tcPr>
          <w:p>
            <w:pPr>
              <w:jc w:val="left"/>
              <w:rPr>
                <w:rFonts w:ascii="宋体" w:hAnsi="宋体" w:eastAsia="宋体" w:cs="宋体"/>
                <w:sz w:val="24"/>
              </w:rPr>
            </w:pPr>
            <w:r>
              <w:rPr>
                <w:rFonts w:hint="eastAsia" w:ascii="宋体" w:hAnsi="宋体" w:eastAsia="宋体" w:cs="宋体"/>
                <w:sz w:val="24"/>
              </w:rPr>
              <w:t>可变带宽技术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24.14</w:t>
            </w:r>
          </w:p>
        </w:tc>
        <w:tc>
          <w:tcPr>
            <w:tcW w:w="1533" w:type="pct"/>
            <w:vAlign w:val="center"/>
          </w:tcPr>
          <w:p>
            <w:pPr>
              <w:jc w:val="left"/>
              <w:rPr>
                <w:rFonts w:ascii="宋体" w:hAnsi="宋体" w:eastAsia="宋体" w:cs="宋体"/>
                <w:sz w:val="24"/>
              </w:rPr>
            </w:pPr>
            <w:r>
              <w:rPr>
                <w:rFonts w:hint="eastAsia" w:ascii="宋体" w:hAnsi="宋体" w:eastAsia="宋体" w:cs="宋体"/>
                <w:sz w:val="24"/>
              </w:rPr>
              <w:t>可变k空间填充</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24.15</w:t>
            </w:r>
          </w:p>
        </w:tc>
        <w:tc>
          <w:tcPr>
            <w:tcW w:w="1533" w:type="pct"/>
            <w:vAlign w:val="center"/>
          </w:tcPr>
          <w:p>
            <w:pPr>
              <w:jc w:val="left"/>
              <w:rPr>
                <w:rFonts w:ascii="宋体" w:hAnsi="宋体" w:eastAsia="宋体" w:cs="宋体"/>
                <w:sz w:val="24"/>
              </w:rPr>
            </w:pPr>
            <w:r>
              <w:rPr>
                <w:rFonts w:hint="eastAsia" w:ascii="宋体" w:hAnsi="宋体" w:eastAsia="宋体" w:cs="宋体"/>
                <w:sz w:val="24"/>
              </w:rPr>
              <w:t>非/对称回波</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24.16</w:t>
            </w:r>
          </w:p>
        </w:tc>
        <w:tc>
          <w:tcPr>
            <w:tcW w:w="1533" w:type="pct"/>
            <w:vAlign w:val="center"/>
          </w:tcPr>
          <w:p>
            <w:pPr>
              <w:jc w:val="left"/>
              <w:rPr>
                <w:rFonts w:ascii="宋体" w:hAnsi="宋体" w:eastAsia="宋体" w:cs="宋体"/>
                <w:sz w:val="24"/>
              </w:rPr>
            </w:pPr>
            <w:r>
              <w:rPr>
                <w:rFonts w:hint="eastAsia" w:ascii="宋体" w:hAnsi="宋体" w:eastAsia="宋体" w:cs="宋体"/>
                <w:sz w:val="24"/>
              </w:rPr>
              <w:t>信噪比指示器</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24.17</w:t>
            </w:r>
          </w:p>
        </w:tc>
        <w:tc>
          <w:tcPr>
            <w:tcW w:w="1533" w:type="pct"/>
            <w:vAlign w:val="center"/>
          </w:tcPr>
          <w:p>
            <w:pPr>
              <w:jc w:val="left"/>
              <w:rPr>
                <w:rFonts w:ascii="宋体" w:hAnsi="宋体" w:eastAsia="宋体" w:cs="宋体"/>
                <w:sz w:val="24"/>
              </w:rPr>
            </w:pPr>
            <w:r>
              <w:rPr>
                <w:rFonts w:hint="eastAsia" w:ascii="宋体" w:hAnsi="宋体" w:eastAsia="宋体" w:cs="宋体"/>
                <w:sz w:val="24"/>
              </w:rPr>
              <w:t>优化反转角技术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24.18</w:t>
            </w:r>
          </w:p>
        </w:tc>
        <w:tc>
          <w:tcPr>
            <w:tcW w:w="1533" w:type="pct"/>
            <w:vAlign w:val="center"/>
          </w:tcPr>
          <w:p>
            <w:pPr>
              <w:jc w:val="left"/>
              <w:rPr>
                <w:rFonts w:ascii="宋体" w:hAnsi="宋体" w:eastAsia="宋体" w:cs="宋体"/>
                <w:sz w:val="24"/>
              </w:rPr>
            </w:pPr>
            <w:r>
              <w:rPr>
                <w:rFonts w:hint="eastAsia" w:ascii="宋体" w:hAnsi="宋体" w:eastAsia="宋体" w:cs="宋体"/>
                <w:sz w:val="24"/>
              </w:rPr>
              <w:t>线圈灵敏度校正</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24.19</w:t>
            </w:r>
          </w:p>
        </w:tc>
        <w:tc>
          <w:tcPr>
            <w:tcW w:w="1533" w:type="pct"/>
            <w:vAlign w:val="center"/>
          </w:tcPr>
          <w:p>
            <w:pPr>
              <w:jc w:val="left"/>
              <w:rPr>
                <w:rFonts w:ascii="宋体" w:hAnsi="宋体" w:eastAsia="宋体" w:cs="宋体"/>
                <w:sz w:val="24"/>
              </w:rPr>
            </w:pPr>
            <w:r>
              <w:rPr>
                <w:rFonts w:hint="eastAsia" w:ascii="宋体" w:hAnsi="宋体" w:eastAsia="宋体" w:cs="宋体"/>
                <w:sz w:val="24"/>
              </w:rPr>
              <w:t>神经高分辨成像</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24.20</w:t>
            </w:r>
          </w:p>
        </w:tc>
        <w:tc>
          <w:tcPr>
            <w:tcW w:w="1533" w:type="pct"/>
            <w:vAlign w:val="center"/>
          </w:tcPr>
          <w:p>
            <w:pPr>
              <w:jc w:val="left"/>
              <w:rPr>
                <w:rFonts w:ascii="宋体" w:hAnsi="宋体" w:eastAsia="宋体" w:cs="宋体"/>
                <w:sz w:val="24"/>
              </w:rPr>
            </w:pPr>
            <w:r>
              <w:rPr>
                <w:rFonts w:hint="eastAsia" w:ascii="宋体" w:hAnsi="宋体" w:eastAsia="宋体" w:cs="宋体"/>
                <w:sz w:val="24"/>
              </w:rPr>
              <w:t>磁共振实时定位</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24.21</w:t>
            </w:r>
          </w:p>
        </w:tc>
        <w:tc>
          <w:tcPr>
            <w:tcW w:w="1533" w:type="pct"/>
            <w:vAlign w:val="center"/>
          </w:tcPr>
          <w:p>
            <w:pPr>
              <w:jc w:val="left"/>
              <w:rPr>
                <w:rFonts w:ascii="宋体" w:hAnsi="宋体" w:eastAsia="宋体" w:cs="宋体"/>
                <w:sz w:val="24"/>
              </w:rPr>
            </w:pPr>
            <w:r>
              <w:rPr>
                <w:rFonts w:hint="eastAsia" w:ascii="宋体" w:hAnsi="宋体" w:eastAsia="宋体" w:cs="宋体"/>
                <w:sz w:val="24"/>
              </w:rPr>
              <w:t>磁共振实时透视</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24.22</w:t>
            </w:r>
          </w:p>
        </w:tc>
        <w:tc>
          <w:tcPr>
            <w:tcW w:w="1533" w:type="pct"/>
            <w:vAlign w:val="center"/>
          </w:tcPr>
          <w:p>
            <w:pPr>
              <w:jc w:val="left"/>
              <w:rPr>
                <w:rFonts w:ascii="宋体" w:hAnsi="宋体" w:eastAsia="宋体" w:cs="宋体"/>
                <w:sz w:val="24"/>
              </w:rPr>
            </w:pPr>
            <w:r>
              <w:rPr>
                <w:rFonts w:hint="eastAsia" w:ascii="宋体" w:hAnsi="宋体" w:eastAsia="宋体" w:cs="宋体"/>
                <w:sz w:val="24"/>
              </w:rPr>
              <w:t>交互式参数改变</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24.23</w:t>
            </w:r>
          </w:p>
        </w:tc>
        <w:tc>
          <w:tcPr>
            <w:tcW w:w="1533" w:type="pct"/>
            <w:vAlign w:val="center"/>
          </w:tcPr>
          <w:p>
            <w:pPr>
              <w:jc w:val="left"/>
              <w:rPr>
                <w:rFonts w:ascii="宋体" w:hAnsi="宋体" w:eastAsia="宋体" w:cs="宋体"/>
                <w:sz w:val="24"/>
              </w:rPr>
            </w:pPr>
            <w:r>
              <w:rPr>
                <w:rFonts w:hint="eastAsia" w:ascii="宋体" w:hAnsi="宋体" w:eastAsia="宋体" w:cs="宋体"/>
                <w:sz w:val="24"/>
              </w:rPr>
              <w:t>扫描参数顾问</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24.24</w:t>
            </w:r>
          </w:p>
        </w:tc>
        <w:tc>
          <w:tcPr>
            <w:tcW w:w="1533" w:type="pct"/>
            <w:vAlign w:val="center"/>
          </w:tcPr>
          <w:p>
            <w:pPr>
              <w:jc w:val="left"/>
              <w:rPr>
                <w:rFonts w:ascii="宋体" w:hAnsi="宋体" w:eastAsia="宋体" w:cs="宋体"/>
                <w:sz w:val="24"/>
              </w:rPr>
            </w:pPr>
            <w:r>
              <w:rPr>
                <w:rFonts w:hint="eastAsia" w:ascii="宋体" w:hAnsi="宋体" w:eastAsia="宋体" w:cs="宋体"/>
                <w:sz w:val="24"/>
              </w:rPr>
              <w:t>恒定信号技术</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24.25</w:t>
            </w:r>
          </w:p>
        </w:tc>
        <w:tc>
          <w:tcPr>
            <w:tcW w:w="1533"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序列重生技术</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25</w:t>
            </w:r>
          </w:p>
        </w:tc>
        <w:tc>
          <w:tcPr>
            <w:tcW w:w="4278" w:type="pct"/>
            <w:gridSpan w:val="3"/>
            <w:tcBorders>
              <w:left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高级影像后处理工作站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25.1</w:t>
            </w:r>
          </w:p>
        </w:tc>
        <w:tc>
          <w:tcPr>
            <w:tcW w:w="1533" w:type="pct"/>
            <w:vAlign w:val="center"/>
          </w:tcPr>
          <w:p>
            <w:pPr>
              <w:jc w:val="left"/>
              <w:rPr>
                <w:rFonts w:ascii="宋体" w:hAnsi="宋体" w:eastAsia="宋体" w:cs="宋体"/>
                <w:sz w:val="24"/>
              </w:rPr>
            </w:pPr>
            <w:r>
              <w:rPr>
                <w:rFonts w:hint="eastAsia" w:ascii="宋体" w:hAnsi="宋体" w:eastAsia="宋体" w:cs="宋体"/>
                <w:sz w:val="24"/>
              </w:rPr>
              <w:t>内存</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≥6GB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25.2</w:t>
            </w:r>
          </w:p>
        </w:tc>
        <w:tc>
          <w:tcPr>
            <w:tcW w:w="1533" w:type="pct"/>
            <w:vAlign w:val="center"/>
          </w:tcPr>
          <w:p>
            <w:pPr>
              <w:jc w:val="left"/>
              <w:rPr>
                <w:rFonts w:ascii="宋体" w:hAnsi="宋体" w:eastAsia="宋体" w:cs="宋体"/>
                <w:sz w:val="24"/>
              </w:rPr>
            </w:pPr>
            <w:r>
              <w:rPr>
                <w:rFonts w:hint="eastAsia" w:ascii="宋体" w:hAnsi="宋体" w:eastAsia="宋体" w:cs="宋体"/>
                <w:sz w:val="24"/>
              </w:rPr>
              <w:t>主频</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≥3.5GHz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25.3</w:t>
            </w:r>
          </w:p>
        </w:tc>
        <w:tc>
          <w:tcPr>
            <w:tcW w:w="1533" w:type="pct"/>
            <w:vAlign w:val="center"/>
          </w:tcPr>
          <w:p>
            <w:pPr>
              <w:jc w:val="left"/>
              <w:rPr>
                <w:rFonts w:ascii="宋体" w:hAnsi="宋体" w:eastAsia="宋体" w:cs="宋体"/>
                <w:sz w:val="24"/>
              </w:rPr>
            </w:pPr>
            <w:r>
              <w:rPr>
                <w:rFonts w:hint="eastAsia" w:ascii="宋体" w:hAnsi="宋体" w:eastAsia="宋体" w:cs="宋体"/>
                <w:sz w:val="24"/>
              </w:rPr>
              <w:t>硬盘容量</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≥1000G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25.4</w:t>
            </w:r>
          </w:p>
        </w:tc>
        <w:tc>
          <w:tcPr>
            <w:tcW w:w="1533" w:type="pct"/>
            <w:vAlign w:val="center"/>
          </w:tcPr>
          <w:p>
            <w:pPr>
              <w:jc w:val="left"/>
              <w:rPr>
                <w:rFonts w:ascii="宋体" w:hAnsi="宋体" w:eastAsia="宋体" w:cs="宋体"/>
                <w:sz w:val="24"/>
              </w:rPr>
            </w:pPr>
            <w:r>
              <w:rPr>
                <w:rFonts w:hint="eastAsia" w:ascii="宋体" w:hAnsi="宋体" w:eastAsia="宋体" w:cs="宋体"/>
                <w:sz w:val="24"/>
              </w:rPr>
              <w:t>显示器</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≥19″LCD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4" w:hRule="atLeast"/>
          <w:jc w:val="center"/>
        </w:trPr>
        <w:tc>
          <w:tcPr>
            <w:tcW w:w="721" w:type="pct"/>
            <w:vAlign w:val="center"/>
          </w:tcPr>
          <w:p>
            <w:pPr>
              <w:jc w:val="left"/>
              <w:rPr>
                <w:rFonts w:ascii="宋体" w:hAnsi="宋体" w:eastAsia="宋体" w:cs="宋体"/>
                <w:sz w:val="24"/>
              </w:rPr>
            </w:pPr>
            <w:r>
              <w:rPr>
                <w:rFonts w:hint="eastAsia" w:ascii="宋体" w:hAnsi="宋体" w:eastAsia="宋体" w:cs="宋体"/>
                <w:sz w:val="24"/>
              </w:rPr>
              <w:t>25.5</w:t>
            </w:r>
          </w:p>
        </w:tc>
        <w:tc>
          <w:tcPr>
            <w:tcW w:w="1533" w:type="pct"/>
            <w:vAlign w:val="center"/>
          </w:tcPr>
          <w:p>
            <w:pPr>
              <w:jc w:val="left"/>
              <w:rPr>
                <w:rFonts w:ascii="宋体" w:hAnsi="宋体" w:eastAsia="宋体" w:cs="宋体"/>
                <w:sz w:val="24"/>
              </w:rPr>
            </w:pPr>
            <w:r>
              <w:rPr>
                <w:rFonts w:hint="eastAsia" w:ascii="宋体" w:hAnsi="宋体" w:eastAsia="宋体" w:cs="宋体"/>
                <w:sz w:val="24"/>
              </w:rPr>
              <w:t>MIP,MPR,SSD等</w:t>
            </w:r>
          </w:p>
        </w:tc>
        <w:tc>
          <w:tcPr>
            <w:tcW w:w="2745" w:type="pct"/>
            <w:gridSpan w:val="2"/>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05"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25.6</w:t>
            </w:r>
          </w:p>
        </w:tc>
        <w:tc>
          <w:tcPr>
            <w:tcW w:w="1533"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DICOM图像转换成JPG格式</w:t>
            </w:r>
          </w:p>
        </w:tc>
        <w:tc>
          <w:tcPr>
            <w:tcW w:w="2745"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3"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25.7</w:t>
            </w:r>
          </w:p>
        </w:tc>
        <w:tc>
          <w:tcPr>
            <w:tcW w:w="1533"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DVD/CD-RW光盘刻录机</w:t>
            </w:r>
          </w:p>
        </w:tc>
        <w:tc>
          <w:tcPr>
            <w:tcW w:w="2745"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13" w:hRule="atLeast"/>
          <w:jc w:val="center"/>
        </w:trPr>
        <w:tc>
          <w:tcPr>
            <w:tcW w:w="721"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25.8</w:t>
            </w:r>
          </w:p>
        </w:tc>
        <w:tc>
          <w:tcPr>
            <w:tcW w:w="1533" w:type="pct"/>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图像分析系统（测量、反转、滤波）</w:t>
            </w:r>
          </w:p>
        </w:tc>
        <w:tc>
          <w:tcPr>
            <w:tcW w:w="2745" w:type="pct"/>
            <w:gridSpan w:val="2"/>
            <w:tcBorders>
              <w:top w:val="single" w:color="auto" w:sz="4" w:space="0"/>
              <w:bottom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25.9</w:t>
            </w:r>
          </w:p>
        </w:tc>
        <w:tc>
          <w:tcPr>
            <w:tcW w:w="1533"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工作站控制照相</w:t>
            </w:r>
          </w:p>
        </w:tc>
        <w:tc>
          <w:tcPr>
            <w:tcW w:w="2745" w:type="pct"/>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25.10</w:t>
            </w:r>
          </w:p>
        </w:tc>
        <w:tc>
          <w:tcPr>
            <w:tcW w:w="1533"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图像管理</w:t>
            </w:r>
          </w:p>
        </w:tc>
        <w:tc>
          <w:tcPr>
            <w:tcW w:w="2745" w:type="pct"/>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25.11</w:t>
            </w:r>
          </w:p>
        </w:tc>
        <w:tc>
          <w:tcPr>
            <w:tcW w:w="1533"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联网图像传输</w:t>
            </w:r>
          </w:p>
        </w:tc>
        <w:tc>
          <w:tcPr>
            <w:tcW w:w="2745" w:type="pct"/>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33" w:hRule="atLeast"/>
          <w:jc w:val="center"/>
        </w:trPr>
        <w:tc>
          <w:tcPr>
            <w:tcW w:w="721" w:type="pct"/>
            <w:tcBorders>
              <w:top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25.12</w:t>
            </w:r>
          </w:p>
        </w:tc>
        <w:tc>
          <w:tcPr>
            <w:tcW w:w="1533"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Dicom3.0软硬接口 并负责连接</w:t>
            </w:r>
          </w:p>
        </w:tc>
        <w:tc>
          <w:tcPr>
            <w:tcW w:w="2745" w:type="pct"/>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top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 26</w:t>
            </w:r>
          </w:p>
        </w:tc>
        <w:tc>
          <w:tcPr>
            <w:tcW w:w="1533" w:type="pct"/>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b/>
                <w:sz w:val="24"/>
              </w:rPr>
            </w:pPr>
            <w:r>
              <w:rPr>
                <w:rFonts w:hint="eastAsia" w:ascii="宋体" w:hAnsi="宋体" w:eastAsia="宋体" w:cs="宋体"/>
                <w:b/>
                <w:sz w:val="24"/>
              </w:rPr>
              <w:t>第三方设备，包括但不局限于：</w:t>
            </w:r>
          </w:p>
        </w:tc>
        <w:tc>
          <w:tcPr>
            <w:tcW w:w="2745" w:type="pct"/>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26.1</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不间断电源UPS</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26.2</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金属探测门</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26.3</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水冷机</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26.4</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适配双筒高压注射器，耗材可开放</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26.5</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人工智能影像分析平台</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21" w:type="pct"/>
            <w:tcBorders>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26.6</w:t>
            </w:r>
          </w:p>
        </w:tc>
        <w:tc>
          <w:tcPr>
            <w:tcW w:w="1533" w:type="pct"/>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适配的精密空调</w:t>
            </w:r>
          </w:p>
        </w:tc>
        <w:tc>
          <w:tcPr>
            <w:tcW w:w="2745" w:type="pct"/>
            <w:gridSpan w:val="2"/>
            <w:tcBorders>
              <w:left w:val="single" w:color="auto" w:sz="4" w:space="0"/>
              <w:right w:val="single" w:color="auto" w:sz="4" w:space="0"/>
            </w:tcBorders>
            <w:vAlign w:val="center"/>
          </w:tcPr>
          <w:p>
            <w:pPr>
              <w:jc w:val="left"/>
              <w:rPr>
                <w:rFonts w:ascii="宋体" w:hAnsi="宋体" w:eastAsia="宋体" w:cs="宋体"/>
                <w:sz w:val="24"/>
              </w:rPr>
            </w:pPr>
            <w:r>
              <w:rPr>
                <w:rFonts w:hint="eastAsia" w:ascii="宋体" w:hAnsi="宋体" w:eastAsia="宋体" w:cs="宋体"/>
                <w:sz w:val="24"/>
              </w:rPr>
              <w:t>具备</w:t>
            </w:r>
          </w:p>
        </w:tc>
      </w:tr>
    </w:tbl>
    <w:p>
      <w:pPr>
        <w:snapToGrid w:val="0"/>
        <w:spacing w:line="400" w:lineRule="atLeast"/>
        <w:rPr>
          <w:rFonts w:cs="宋体;SimSun" w:asciiTheme="majorEastAsia" w:hAnsiTheme="majorEastAsia" w:eastAsiaTheme="majorEastAsia"/>
          <w:b/>
          <w:bCs/>
          <w:sz w:val="24"/>
        </w:rPr>
      </w:pPr>
      <w:r>
        <w:rPr>
          <w:rFonts w:hint="eastAsia" w:cs="宋体;SimSun" w:asciiTheme="majorEastAsia" w:hAnsiTheme="majorEastAsia" w:eastAsiaTheme="majorEastAsia"/>
          <w:b/>
          <w:bCs/>
          <w:sz w:val="24"/>
        </w:rPr>
        <w:t>*合同包2：商务要求</w:t>
      </w:r>
    </w:p>
    <w:tbl>
      <w:tblPr>
        <w:tblStyle w:val="3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9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1、整机</w:t>
            </w:r>
            <w:r>
              <w:rPr>
                <w:rFonts w:hint="eastAsia" w:ascii="宋体" w:hAnsi="宋体" w:eastAsia="宋体" w:cs="宋体"/>
                <w:b/>
                <w:kern w:val="0"/>
                <w:sz w:val="24"/>
              </w:rPr>
              <w:t>（含磁体、线圈、液氦以及所配置的第三方产品等）</w:t>
            </w:r>
            <w:r>
              <w:rPr>
                <w:rFonts w:hint="eastAsia" w:ascii="宋体" w:hAnsi="宋体" w:eastAsia="宋体" w:cs="宋体"/>
                <w:kern w:val="0"/>
                <w:sz w:val="24"/>
              </w:rPr>
              <w:t>免费维保≥2年</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2、提供远程维修诊断系统</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3、终身免费提供故障及维修代码</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4、中国大陆应有备件库</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5、</w:t>
            </w:r>
            <w:r>
              <w:rPr>
                <w:rFonts w:hint="eastAsia" w:ascii="宋体" w:hAnsi="宋体" w:eastAsia="宋体" w:cs="宋体"/>
                <w:sz w:val="24"/>
              </w:rPr>
              <w:t>福建省内有厂家固定维修驻点且省内维修工程师不少于两名，并提供相关证明材料</w:t>
            </w:r>
            <w:r>
              <w:rPr>
                <w:rFonts w:hint="eastAsia" w:ascii="宋体" w:hAnsi="宋体" w:eastAsia="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6、提供免费保修电话；提供400或800报修电话号码</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7、提供技术培训，保证使用人员能够正确操作，能正确使用设备各种功能</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8、提供设备运行、安装、使用环境要求及指导</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eastAsia" w:ascii="宋体" w:hAnsi="宋体" w:eastAsia="宋体" w:cs="宋体"/>
                <w:kern w:val="0"/>
                <w:sz w:val="24"/>
                <w:lang w:eastAsia="zh-CN"/>
              </w:rPr>
            </w:pPr>
            <w:r>
              <w:rPr>
                <w:rFonts w:hint="eastAsia" w:ascii="宋体" w:hAnsi="宋体" w:eastAsia="宋体" w:cs="宋体"/>
                <w:kern w:val="0"/>
                <w:sz w:val="24"/>
              </w:rPr>
              <w:t>9、基于仅部分医院需要提供科研头线圈用于特殊科研所需，故此次设备的投标总价不含该头线圈，具体价格待中标后自行与院方协商并按相关流程执行</w:t>
            </w:r>
            <w:r>
              <w:rPr>
                <w:rFonts w:hint="eastAsia" w:ascii="宋体" w:hAnsi="宋体" w:eastAsia="宋体" w:cs="宋体"/>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969" w:type="pct"/>
            <w:tcMar>
              <w:top w:w="0" w:type="dxa"/>
              <w:left w:w="88" w:type="dxa"/>
              <w:bottom w:w="0" w:type="dxa"/>
              <w:right w:w="88" w:type="dxa"/>
            </w:tcMar>
          </w:tcPr>
          <w:p>
            <w:pPr>
              <w:widowControl/>
              <w:autoSpaceDE w:val="0"/>
              <w:autoSpaceDN w:val="0"/>
              <w:adjustRightInd w:val="0"/>
              <w:snapToGrid w:val="0"/>
              <w:spacing w:line="300" w:lineRule="auto"/>
              <w:jc w:val="left"/>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10、</w:t>
            </w:r>
            <w:bookmarkStart w:id="10" w:name="_GoBack"/>
            <w:r>
              <w:rPr>
                <w:rFonts w:hint="eastAsia" w:ascii="宋体" w:hAnsi="宋体" w:eastAsia="宋体" w:cs="宋体"/>
                <w:sz w:val="24"/>
                <w:szCs w:val="24"/>
                <w:highlight w:val="none"/>
                <w:lang w:val="en-US" w:eastAsia="zh-CN"/>
              </w:rPr>
              <w:t>若采购人或设备配置医院在项目验收</w:t>
            </w:r>
            <w:r>
              <w:rPr>
                <w:rFonts w:hint="eastAsia" w:ascii="宋体" w:hAnsi="宋体" w:eastAsia="宋体" w:cs="宋体"/>
                <w:b w:val="0"/>
                <w:bCs w:val="0"/>
                <w:sz w:val="24"/>
                <w:szCs w:val="24"/>
                <w:highlight w:val="none"/>
                <w:lang w:val="en-US" w:eastAsia="zh-CN"/>
              </w:rPr>
              <w:t>环节要求中标人对所投产品提供经第三方</w:t>
            </w:r>
            <w:r>
              <w:rPr>
                <w:rStyle w:val="33"/>
                <w:rFonts w:hint="eastAsia" w:ascii="宋体" w:hAnsi="宋体" w:eastAsia="宋体" w:cs="宋体"/>
                <w:b w:val="0"/>
                <w:bCs w:val="0"/>
                <w:sz w:val="24"/>
                <w:szCs w:val="24"/>
                <w:highlight w:val="none"/>
              </w:rPr>
              <w:t>检测机构出具的合法有效的检测报告</w:t>
            </w:r>
            <w:r>
              <w:rPr>
                <w:rFonts w:hint="eastAsia" w:ascii="宋体" w:hAnsi="宋体" w:eastAsia="宋体" w:cs="宋体"/>
                <w:b w:val="0"/>
                <w:bCs w:val="0"/>
                <w:sz w:val="24"/>
                <w:szCs w:val="24"/>
                <w:highlight w:val="none"/>
                <w:lang w:val="en-US" w:eastAsia="zh-CN"/>
              </w:rPr>
              <w:t>，中标人应</w:t>
            </w:r>
            <w:r>
              <w:rPr>
                <w:rFonts w:hint="eastAsia" w:ascii="宋体" w:hAnsi="宋体" w:eastAsia="宋体" w:cs="宋体"/>
                <w:sz w:val="24"/>
                <w:szCs w:val="24"/>
                <w:highlight w:val="none"/>
                <w:lang w:val="en-US" w:eastAsia="zh-CN"/>
              </w:rPr>
              <w:t>免费提供</w:t>
            </w:r>
            <w:r>
              <w:rPr>
                <w:rStyle w:val="33"/>
                <w:rFonts w:hint="eastAsia" w:ascii="宋体" w:hAnsi="宋体" w:eastAsia="宋体" w:cs="宋体"/>
                <w:sz w:val="24"/>
                <w:szCs w:val="24"/>
                <w:highlight w:val="none"/>
                <w:lang w:eastAsia="zh-CN"/>
              </w:rPr>
              <w:t>。</w:t>
            </w:r>
            <w:bookmarkEnd w:id="10"/>
          </w:p>
        </w:tc>
      </w:tr>
    </w:tbl>
    <w:p>
      <w:pPr>
        <w:widowControl/>
        <w:jc w:val="left"/>
        <w:rPr>
          <w:rFonts w:cs="宋体;SimSun" w:asciiTheme="majorEastAsia" w:hAnsiTheme="majorEastAsia" w:eastAsiaTheme="majorEastAsia"/>
          <w:b/>
          <w:bCs/>
          <w:sz w:val="24"/>
        </w:rPr>
      </w:pPr>
    </w:p>
    <w:p>
      <w:pPr>
        <w:snapToGrid w:val="0"/>
        <w:spacing w:line="400" w:lineRule="atLeast"/>
        <w:rPr>
          <w:rFonts w:cs="宋体;SimSun" w:asciiTheme="majorEastAsia" w:hAnsiTheme="majorEastAsia" w:eastAsiaTheme="majorEastAsia"/>
          <w:b/>
          <w:bCs/>
          <w:sz w:val="24"/>
        </w:rPr>
      </w:pPr>
      <w:r>
        <w:rPr>
          <w:rFonts w:cs="宋体;SimSun" w:asciiTheme="majorEastAsia" w:hAnsiTheme="majorEastAsia" w:eastAsiaTheme="majorEastAsia"/>
          <w:b/>
          <w:bCs/>
          <w:sz w:val="24"/>
        </w:rPr>
        <w:t>三、</w:t>
      </w:r>
      <w:r>
        <w:rPr>
          <w:rFonts w:hint="eastAsia" w:cs="宋体;SimSun" w:asciiTheme="majorEastAsia" w:hAnsiTheme="majorEastAsia" w:eastAsiaTheme="majorEastAsia"/>
          <w:b/>
          <w:bCs/>
          <w:sz w:val="24"/>
        </w:rPr>
        <w:t>其他</w:t>
      </w:r>
      <w:r>
        <w:rPr>
          <w:rFonts w:cs="宋体;SimSun" w:asciiTheme="majorEastAsia" w:hAnsiTheme="majorEastAsia" w:eastAsiaTheme="majorEastAsia"/>
          <w:b/>
          <w:bCs/>
          <w:sz w:val="24"/>
        </w:rPr>
        <w:t>售后服务要求</w:t>
      </w:r>
    </w:p>
    <w:p>
      <w:pPr>
        <w:ind w:firstLine="480" w:firstLineChars="200"/>
        <w:rPr>
          <w:rFonts w:ascii="宋体" w:hAnsi="宋体" w:cs="宋体"/>
          <w:sz w:val="24"/>
        </w:rPr>
      </w:pPr>
      <w:r>
        <w:rPr>
          <w:rFonts w:hint="eastAsia" w:ascii="宋体" w:hAnsi="宋体" w:cs="宋体"/>
          <w:sz w:val="24"/>
        </w:rPr>
        <w:t>1、安装和调试：中标方负责派厂家技术人员到现场进行免费安装调试，直至验收合格；中标方应在设备运抵现场一周前，向设备配置医院提供设备安装调试及运行的进度计划表。</w:t>
      </w:r>
    </w:p>
    <w:p>
      <w:pPr>
        <w:ind w:firstLine="480" w:firstLineChars="200"/>
        <w:rPr>
          <w:rFonts w:ascii="宋体" w:hAnsi="宋体" w:cs="宋体"/>
          <w:sz w:val="24"/>
        </w:rPr>
      </w:pPr>
      <w:r>
        <w:rPr>
          <w:rFonts w:hint="eastAsia" w:ascii="宋体" w:hAnsi="宋体" w:cs="宋体"/>
          <w:sz w:val="24"/>
        </w:rPr>
        <w:t>2、验收标准和验收方法：设备按国家行业标准进行验收。产品质量达到设计要求，安装调试各项指标符合技术参数要求；计量设备应能通过计量部门的验收。实行现场验收时，由中标方负责并会同配置医院及有关专家进行验收。进口设备供货时须同时提供该设备相关的进口报关、检验检疫文件。</w:t>
      </w:r>
    </w:p>
    <w:p>
      <w:pPr>
        <w:ind w:firstLine="480" w:firstLineChars="200"/>
        <w:rPr>
          <w:rFonts w:ascii="宋体" w:hAnsi="宋体" w:cs="宋体"/>
          <w:sz w:val="24"/>
        </w:rPr>
      </w:pPr>
      <w:r>
        <w:rPr>
          <w:rFonts w:hint="eastAsia" w:ascii="宋体" w:hAnsi="宋体" w:cs="宋体"/>
          <w:sz w:val="24"/>
        </w:rPr>
        <w:t>3、技术培训：中标方应负责对采购方人员进行现场培训，直至设备配置医院人员能完全操作和维护设备。</w:t>
      </w:r>
    </w:p>
    <w:p>
      <w:pPr>
        <w:ind w:firstLine="480" w:firstLineChars="200"/>
        <w:rPr>
          <w:rFonts w:ascii="宋体" w:hAnsi="宋体" w:cs="宋体"/>
          <w:sz w:val="24"/>
        </w:rPr>
      </w:pPr>
      <w:r>
        <w:rPr>
          <w:rFonts w:hint="eastAsia" w:ascii="宋体" w:hAnsi="宋体" w:cs="宋体"/>
          <w:sz w:val="24"/>
        </w:rPr>
        <w:t>4、服务要求：</w:t>
      </w:r>
    </w:p>
    <w:p>
      <w:pPr>
        <w:ind w:firstLine="480" w:firstLineChars="200"/>
        <w:rPr>
          <w:rFonts w:ascii="宋体" w:hAnsi="宋体" w:cs="宋体"/>
          <w:sz w:val="24"/>
        </w:rPr>
      </w:pPr>
      <w:r>
        <w:rPr>
          <w:rFonts w:hint="eastAsia" w:ascii="宋体" w:hAnsi="宋体" w:cs="宋体"/>
          <w:sz w:val="24"/>
        </w:rPr>
        <w:t>4.1.安装与调试</w:t>
      </w:r>
    </w:p>
    <w:p>
      <w:pPr>
        <w:ind w:firstLine="480" w:firstLineChars="200"/>
        <w:rPr>
          <w:rFonts w:ascii="宋体" w:hAnsi="宋体" w:cs="宋体"/>
          <w:sz w:val="24"/>
        </w:rPr>
      </w:pPr>
      <w:r>
        <w:rPr>
          <w:rFonts w:hint="eastAsia" w:ascii="宋体" w:hAnsi="宋体" w:cs="宋体"/>
          <w:sz w:val="24"/>
        </w:rPr>
        <w:t>4.1.1、安装与验收</w:t>
      </w:r>
    </w:p>
    <w:p>
      <w:pPr>
        <w:ind w:firstLine="480" w:firstLineChars="200"/>
        <w:rPr>
          <w:rFonts w:ascii="宋体" w:hAnsi="宋体" w:cs="宋体"/>
          <w:sz w:val="24"/>
        </w:rPr>
      </w:pPr>
      <w:r>
        <w:rPr>
          <w:rFonts w:hint="eastAsia" w:ascii="宋体" w:hAnsi="宋体" w:cs="宋体"/>
          <w:sz w:val="24"/>
        </w:rPr>
        <w:t>4.1.1.1安装</w:t>
      </w:r>
    </w:p>
    <w:p>
      <w:pPr>
        <w:ind w:firstLine="480" w:firstLineChars="200"/>
        <w:rPr>
          <w:rFonts w:ascii="宋体" w:hAnsi="宋体" w:cs="宋体"/>
          <w:sz w:val="24"/>
        </w:rPr>
      </w:pPr>
      <w:r>
        <w:rPr>
          <w:rFonts w:hint="eastAsia" w:ascii="宋体" w:hAnsi="宋体" w:cs="宋体"/>
          <w:sz w:val="24"/>
        </w:rPr>
        <w:t>4.1.1.1.1 合同签订后，由中标人负责将设备按签订合同的具体数量、具体地点运送到各设备配置医院指定的最终目的地。并负责派技术人员到现场进行安装、调试，并负责调试至验收合格交付招标人使用。</w:t>
      </w:r>
    </w:p>
    <w:p>
      <w:pPr>
        <w:ind w:firstLine="480" w:firstLineChars="200"/>
        <w:rPr>
          <w:rFonts w:ascii="宋体" w:hAnsi="宋体" w:cs="宋体"/>
          <w:sz w:val="24"/>
        </w:rPr>
      </w:pPr>
      <w:r>
        <w:rPr>
          <w:rFonts w:hint="eastAsia" w:ascii="宋体" w:hAnsi="宋体" w:cs="宋体"/>
          <w:sz w:val="24"/>
        </w:rPr>
        <w:t>4.1.1.1.2 中标人负责组织专业技术人员进行货物安装调试，各医院应提供必须的基本条件和专人配合，保证各项安装工作顺利进行。</w:t>
      </w:r>
    </w:p>
    <w:p>
      <w:pPr>
        <w:ind w:firstLine="480" w:firstLineChars="200"/>
        <w:rPr>
          <w:rFonts w:ascii="宋体" w:hAnsi="宋体" w:cs="宋体"/>
          <w:sz w:val="24"/>
        </w:rPr>
      </w:pPr>
      <w:r>
        <w:rPr>
          <w:rFonts w:hint="eastAsia" w:ascii="宋体" w:hAnsi="宋体" w:cs="宋体"/>
          <w:sz w:val="24"/>
        </w:rPr>
        <w:t>4.1.1.1.3 中标人应在合同签订时，向设备配置医院提供安装及试运行的进度计划表。</w:t>
      </w:r>
    </w:p>
    <w:p>
      <w:pPr>
        <w:ind w:firstLine="480" w:firstLineChars="200"/>
        <w:rPr>
          <w:rFonts w:ascii="宋体" w:hAnsi="宋体" w:cs="宋体"/>
          <w:sz w:val="24"/>
        </w:rPr>
      </w:pPr>
      <w:r>
        <w:rPr>
          <w:rFonts w:hint="eastAsia" w:ascii="宋体" w:hAnsi="宋体" w:cs="宋体"/>
          <w:sz w:val="24"/>
        </w:rPr>
        <w:t>4.1.1.1.4 设备到达最终各医院现场后，中标人的工程师到医院的现场安装设备，同时应向各医院介绍设备功能及特殊分析并进行现场演示。</w:t>
      </w:r>
    </w:p>
    <w:p>
      <w:pPr>
        <w:ind w:firstLine="480" w:firstLineChars="200"/>
        <w:rPr>
          <w:rFonts w:ascii="宋体" w:hAnsi="宋体" w:cs="宋体"/>
          <w:sz w:val="24"/>
        </w:rPr>
      </w:pPr>
      <w:r>
        <w:rPr>
          <w:rFonts w:hint="eastAsia" w:ascii="宋体" w:hAnsi="宋体" w:cs="宋体"/>
          <w:sz w:val="24"/>
        </w:rPr>
        <w:t>4.1.1.1.5设备进场后须在接到各医院安装通知后在规定的时间内安装调试完毕并交付使用。</w:t>
      </w:r>
    </w:p>
    <w:p>
      <w:pPr>
        <w:ind w:firstLine="480" w:firstLineChars="200"/>
        <w:rPr>
          <w:rFonts w:ascii="宋体" w:hAnsi="宋体" w:cs="宋体"/>
          <w:sz w:val="24"/>
        </w:rPr>
      </w:pPr>
      <w:r>
        <w:rPr>
          <w:rFonts w:hint="eastAsia" w:ascii="宋体" w:hAnsi="宋体" w:cs="宋体"/>
          <w:sz w:val="24"/>
        </w:rPr>
        <w:t>4.1.1.1.6中标人提供的配置应符合临床应用要求。</w:t>
      </w:r>
    </w:p>
    <w:p>
      <w:pPr>
        <w:ind w:firstLine="480" w:firstLineChars="200"/>
        <w:rPr>
          <w:rFonts w:ascii="宋体" w:hAnsi="宋体" w:cs="宋体"/>
          <w:sz w:val="24"/>
        </w:rPr>
      </w:pPr>
      <w:r>
        <w:rPr>
          <w:rFonts w:hint="eastAsia" w:ascii="宋体" w:hAnsi="宋体" w:cs="宋体"/>
          <w:sz w:val="24"/>
        </w:rPr>
        <w:t>4.1.1.2 验收</w:t>
      </w:r>
    </w:p>
    <w:p>
      <w:pPr>
        <w:ind w:firstLine="480" w:firstLineChars="200"/>
        <w:rPr>
          <w:rFonts w:ascii="宋体" w:hAnsi="宋体" w:cs="宋体"/>
          <w:sz w:val="24"/>
        </w:rPr>
      </w:pPr>
      <w:r>
        <w:rPr>
          <w:rFonts w:hint="eastAsia" w:ascii="宋体" w:hAnsi="宋体" w:cs="宋体"/>
          <w:sz w:val="24"/>
        </w:rPr>
        <w:t>4.1.1.2.1验收标准</w:t>
      </w:r>
    </w:p>
    <w:p>
      <w:pPr>
        <w:ind w:firstLine="480" w:firstLineChars="200"/>
        <w:rPr>
          <w:rFonts w:ascii="宋体" w:hAnsi="宋体" w:cs="宋体"/>
          <w:sz w:val="24"/>
        </w:rPr>
      </w:pPr>
      <w:r>
        <w:rPr>
          <w:rFonts w:hint="eastAsia" w:ascii="宋体" w:hAnsi="宋体" w:cs="宋体"/>
          <w:sz w:val="24"/>
        </w:rPr>
        <w:t>投标人所提供的设备必须是制造厂家生产的崭新的未开箱的原包装设备。所有设备按厂家设备验收标准（符合国家或行业或地方标准）、招标文件、投标文件等有关内容进行验收。投标人提供设备的制造标准及技术规范等有关资料必须符合中国相应有关标准、规范要求。如属于计量器具的，须经过计量部门计量检定或校准，合格后才能投入使用。检测费用由中标人承担。</w:t>
      </w:r>
    </w:p>
    <w:p>
      <w:pPr>
        <w:ind w:firstLine="480" w:firstLineChars="200"/>
        <w:rPr>
          <w:rFonts w:ascii="宋体" w:hAnsi="宋体" w:cs="宋体"/>
          <w:sz w:val="24"/>
        </w:rPr>
      </w:pPr>
      <w:r>
        <w:rPr>
          <w:rFonts w:hint="eastAsia" w:ascii="宋体" w:hAnsi="宋体" w:cs="宋体"/>
          <w:sz w:val="24"/>
        </w:rPr>
        <w:t>4.1.1.2.2验收程序和方法</w:t>
      </w:r>
    </w:p>
    <w:p>
      <w:pPr>
        <w:ind w:firstLine="480" w:firstLineChars="200"/>
        <w:rPr>
          <w:rFonts w:ascii="宋体" w:hAnsi="宋体" w:cs="宋体"/>
          <w:sz w:val="24"/>
        </w:rPr>
      </w:pPr>
      <w:r>
        <w:rPr>
          <w:rFonts w:hint="eastAsia" w:ascii="宋体" w:hAnsi="宋体" w:cs="宋体"/>
          <w:sz w:val="24"/>
        </w:rPr>
        <w:t>4.1.1.2.2.1出厂检验</w:t>
      </w:r>
    </w:p>
    <w:p>
      <w:pPr>
        <w:ind w:firstLine="480" w:firstLineChars="200"/>
        <w:rPr>
          <w:rFonts w:ascii="宋体" w:hAnsi="宋体" w:cs="宋体"/>
          <w:sz w:val="24"/>
        </w:rPr>
      </w:pPr>
      <w:r>
        <w:rPr>
          <w:rFonts w:hint="eastAsia" w:ascii="宋体" w:hAnsi="宋体" w:cs="宋体"/>
          <w:sz w:val="24"/>
        </w:rPr>
        <w:t>中标人在设备出厂前，应按设备技术标准规定的检验项目和检验方法进行全面检验，中标人应随同货物出具供货证明、产地证书、出厂检验报告、质量合格证书、原装拼配设备的证明资料和文件以及生产厂家供货确认函等。结果必须符合第4.1.1.2.1款验收标准的要求。</w:t>
      </w:r>
    </w:p>
    <w:p>
      <w:pPr>
        <w:ind w:firstLine="480" w:firstLineChars="200"/>
        <w:rPr>
          <w:rFonts w:ascii="宋体" w:hAnsi="宋体" w:cs="宋体"/>
          <w:sz w:val="24"/>
        </w:rPr>
      </w:pPr>
      <w:r>
        <w:rPr>
          <w:rFonts w:hint="eastAsia" w:ascii="宋体" w:hAnsi="宋体" w:cs="宋体"/>
          <w:sz w:val="24"/>
        </w:rPr>
        <w:t>4.1.1.2.2.2初验收：</w:t>
      </w:r>
    </w:p>
    <w:p>
      <w:pPr>
        <w:ind w:firstLine="480" w:firstLineChars="200"/>
        <w:rPr>
          <w:rFonts w:ascii="宋体" w:hAnsi="宋体" w:cs="宋体"/>
          <w:sz w:val="24"/>
        </w:rPr>
      </w:pPr>
      <w:r>
        <w:rPr>
          <w:rFonts w:hint="eastAsia" w:ascii="宋体" w:hAnsi="宋体" w:cs="宋体"/>
          <w:sz w:val="24"/>
        </w:rPr>
        <w:t>由中标人和各设备配置医院共同对设备的数量、质量、外包装等根据本章节的有关规定逐项检验。</w:t>
      </w:r>
    </w:p>
    <w:p>
      <w:pPr>
        <w:ind w:firstLine="480" w:firstLineChars="200"/>
        <w:rPr>
          <w:rFonts w:ascii="宋体" w:hAnsi="宋体" w:cs="宋体"/>
          <w:sz w:val="24"/>
        </w:rPr>
      </w:pPr>
      <w:r>
        <w:rPr>
          <w:rFonts w:hint="eastAsia" w:ascii="宋体" w:hAnsi="宋体" w:cs="宋体"/>
          <w:sz w:val="24"/>
        </w:rPr>
        <w:t>4.1.1.2.2.3试运行：</w:t>
      </w:r>
    </w:p>
    <w:p>
      <w:pPr>
        <w:ind w:firstLine="480" w:firstLineChars="200"/>
        <w:rPr>
          <w:rFonts w:ascii="宋体" w:hAnsi="宋体" w:cs="宋体"/>
          <w:sz w:val="24"/>
        </w:rPr>
      </w:pPr>
      <w:r>
        <w:rPr>
          <w:rFonts w:hint="eastAsia" w:ascii="宋体" w:hAnsi="宋体" w:cs="宋体"/>
          <w:sz w:val="24"/>
        </w:rPr>
        <w:t>设备安装完毕后，中标人应对设备的整体性能和功能进行测试，试运行期间，出现的任何问题，应由中标人及时处理修正。测试结果必须符合招标文件要求及合同中的相关条款，同时中标人应向招标人提供自检记录。</w:t>
      </w:r>
    </w:p>
    <w:p>
      <w:pPr>
        <w:ind w:firstLine="480" w:firstLineChars="200"/>
        <w:rPr>
          <w:rFonts w:ascii="宋体" w:hAnsi="宋体" w:cs="宋体"/>
          <w:sz w:val="24"/>
        </w:rPr>
      </w:pPr>
      <w:r>
        <w:rPr>
          <w:rFonts w:hint="eastAsia" w:ascii="宋体" w:hAnsi="宋体" w:cs="宋体"/>
          <w:sz w:val="24"/>
        </w:rPr>
        <w:t>4.1.1.2.2.4最终验收：</w:t>
      </w:r>
    </w:p>
    <w:p>
      <w:pPr>
        <w:ind w:firstLine="480" w:firstLineChars="200"/>
        <w:rPr>
          <w:rFonts w:ascii="宋体" w:hAnsi="宋体" w:cs="宋体"/>
          <w:sz w:val="24"/>
        </w:rPr>
      </w:pPr>
      <w:r>
        <w:rPr>
          <w:rFonts w:hint="eastAsia" w:ascii="宋体" w:hAnsi="宋体" w:cs="宋体"/>
          <w:sz w:val="24"/>
        </w:rPr>
        <w:t>试运行并测试验收结束后，由各设备配置医院或中标人委托的专业公司以及有关管理部门按招标文件以及合同相关条款要求一同对设备进行联合验收，验收结果应符合各医院使用要求。在此期间，若发现产品质量有问题中标人应无条件免费更换，并无条件重新检测且调试直至验收合格交付使用。</w:t>
      </w:r>
    </w:p>
    <w:p>
      <w:pPr>
        <w:ind w:firstLine="480" w:firstLineChars="200"/>
        <w:rPr>
          <w:rFonts w:ascii="宋体" w:hAnsi="宋体" w:cs="宋体"/>
          <w:sz w:val="24"/>
        </w:rPr>
      </w:pPr>
      <w:r>
        <w:rPr>
          <w:rFonts w:hint="eastAsia" w:ascii="宋体" w:hAnsi="宋体" w:cs="宋体"/>
          <w:sz w:val="24"/>
        </w:rPr>
        <w:t>4.1.1.2.3中标人在各医院安装现场进行最终验收所产生的一切费用由中标人承担（并入投标报价内）。</w:t>
      </w:r>
    </w:p>
    <w:p>
      <w:pPr>
        <w:ind w:firstLine="480" w:firstLineChars="200"/>
        <w:rPr>
          <w:rFonts w:ascii="宋体" w:hAnsi="宋体" w:cs="宋体"/>
          <w:sz w:val="24"/>
        </w:rPr>
      </w:pPr>
      <w:r>
        <w:rPr>
          <w:rFonts w:hint="eastAsia" w:ascii="宋体" w:hAnsi="宋体" w:cs="宋体"/>
          <w:sz w:val="24"/>
        </w:rPr>
        <w:t>4.1.1.2.4若验收不能符合要求，各医院将按合同条款的有关规定执行。</w:t>
      </w:r>
    </w:p>
    <w:p>
      <w:pPr>
        <w:ind w:firstLine="480" w:firstLineChars="200"/>
        <w:rPr>
          <w:rFonts w:ascii="宋体" w:hAnsi="宋体" w:cs="宋体"/>
          <w:sz w:val="24"/>
        </w:rPr>
      </w:pPr>
      <w:r>
        <w:rPr>
          <w:rFonts w:hint="eastAsia" w:ascii="宋体" w:hAnsi="宋体" w:cs="宋体"/>
          <w:sz w:val="24"/>
        </w:rPr>
        <w:t>4.1.2、技术资料要求:中标人需提供本项目全套设备配置清单（详列名 称、品 牌型号、数量、原 产地等）。中标人应向各医院提供以下目录的技术资料壹套（各项指标和参数应符合验收标准，各医院有权委托中国 有资格单位或机构对设备性能、精度进行校核）。</w:t>
      </w:r>
    </w:p>
    <w:p>
      <w:pPr>
        <w:ind w:firstLine="480" w:firstLineChars="200"/>
        <w:rPr>
          <w:rFonts w:ascii="宋体" w:hAnsi="宋体" w:cs="宋体"/>
          <w:sz w:val="24"/>
        </w:rPr>
      </w:pPr>
      <w:r>
        <w:rPr>
          <w:rFonts w:hint="eastAsia" w:ascii="宋体" w:hAnsi="宋体" w:cs="宋体"/>
          <w:sz w:val="24"/>
        </w:rPr>
        <w:t>4.1.2.1出厂明细表(装箱单)；</w:t>
      </w:r>
    </w:p>
    <w:p>
      <w:pPr>
        <w:ind w:firstLine="480" w:firstLineChars="200"/>
        <w:rPr>
          <w:rFonts w:ascii="宋体" w:hAnsi="宋体" w:cs="宋体"/>
          <w:sz w:val="24"/>
        </w:rPr>
      </w:pPr>
      <w:r>
        <w:rPr>
          <w:rFonts w:hint="eastAsia" w:ascii="宋体" w:hAnsi="宋体" w:cs="宋体"/>
          <w:sz w:val="24"/>
        </w:rPr>
        <w:t>4.1.2.2出厂检验报告和合格证书；</w:t>
      </w:r>
    </w:p>
    <w:p>
      <w:pPr>
        <w:ind w:firstLine="480" w:firstLineChars="200"/>
        <w:rPr>
          <w:rFonts w:ascii="宋体" w:hAnsi="宋体" w:cs="宋体"/>
          <w:sz w:val="24"/>
        </w:rPr>
      </w:pPr>
      <w:r>
        <w:rPr>
          <w:rFonts w:hint="eastAsia" w:ascii="宋体" w:hAnsi="宋体" w:cs="宋体"/>
          <w:sz w:val="24"/>
        </w:rPr>
        <w:t>4.1.2.3使用说明书；</w:t>
      </w:r>
    </w:p>
    <w:p>
      <w:pPr>
        <w:ind w:firstLine="480" w:firstLineChars="200"/>
        <w:rPr>
          <w:rFonts w:ascii="宋体" w:hAnsi="宋体" w:cs="宋体"/>
          <w:sz w:val="24"/>
        </w:rPr>
      </w:pPr>
      <w:r>
        <w:rPr>
          <w:rFonts w:hint="eastAsia" w:ascii="宋体" w:hAnsi="宋体" w:cs="宋体"/>
          <w:sz w:val="24"/>
        </w:rPr>
        <w:t>4.1.2.4安装手册、操作手册、维修手册；</w:t>
      </w:r>
    </w:p>
    <w:p>
      <w:pPr>
        <w:ind w:firstLine="480" w:firstLineChars="200"/>
        <w:rPr>
          <w:rFonts w:ascii="宋体" w:hAnsi="宋体" w:cs="宋体"/>
          <w:sz w:val="24"/>
        </w:rPr>
      </w:pPr>
      <w:r>
        <w:rPr>
          <w:rFonts w:hint="eastAsia" w:ascii="宋体" w:hAnsi="宋体" w:cs="宋体"/>
          <w:sz w:val="24"/>
        </w:rPr>
        <w:t>4.1.2.5零部件目录；</w:t>
      </w:r>
    </w:p>
    <w:p>
      <w:pPr>
        <w:ind w:firstLine="480" w:firstLineChars="200"/>
        <w:rPr>
          <w:rFonts w:ascii="宋体" w:hAnsi="宋体" w:cs="宋体"/>
          <w:sz w:val="24"/>
        </w:rPr>
      </w:pPr>
      <w:r>
        <w:rPr>
          <w:rFonts w:hint="eastAsia" w:ascii="宋体" w:hAnsi="宋体" w:cs="宋体"/>
          <w:sz w:val="24"/>
        </w:rPr>
        <w:t>4.1.2.6相关文件、支持程序软盘或光盘；</w:t>
      </w:r>
    </w:p>
    <w:p>
      <w:pPr>
        <w:ind w:firstLine="480" w:firstLineChars="200"/>
        <w:rPr>
          <w:rFonts w:ascii="宋体" w:hAnsi="宋体" w:cs="宋体"/>
          <w:sz w:val="24"/>
        </w:rPr>
      </w:pPr>
      <w:r>
        <w:rPr>
          <w:rFonts w:hint="eastAsia" w:ascii="宋体" w:hAnsi="宋体" w:cs="宋体"/>
          <w:sz w:val="24"/>
        </w:rPr>
        <w:t>4.1.2.7提供原 产地制造商的产品证明；</w:t>
      </w:r>
    </w:p>
    <w:p>
      <w:pPr>
        <w:ind w:firstLine="480" w:firstLineChars="200"/>
        <w:rPr>
          <w:rFonts w:ascii="宋体" w:hAnsi="宋体" w:cs="宋体"/>
          <w:sz w:val="24"/>
        </w:rPr>
      </w:pPr>
      <w:r>
        <w:rPr>
          <w:rFonts w:hint="eastAsia" w:ascii="宋体" w:hAnsi="宋体" w:cs="宋体"/>
          <w:sz w:val="24"/>
        </w:rPr>
        <w:t>4.1.2.8合同中要求的其它文件资料。</w:t>
      </w:r>
    </w:p>
    <w:p>
      <w:pPr>
        <w:ind w:firstLine="480" w:firstLineChars="200"/>
        <w:rPr>
          <w:rFonts w:ascii="宋体" w:hAnsi="宋体" w:cs="宋体"/>
          <w:sz w:val="24"/>
        </w:rPr>
      </w:pPr>
      <w:r>
        <w:rPr>
          <w:rFonts w:hint="eastAsia" w:ascii="宋体" w:hAnsi="宋体" w:cs="宋体"/>
          <w:sz w:val="24"/>
        </w:rPr>
        <w:t>4.1.3、专用工具</w:t>
      </w:r>
    </w:p>
    <w:p>
      <w:pPr>
        <w:ind w:firstLine="480" w:firstLineChars="200"/>
        <w:rPr>
          <w:rFonts w:ascii="宋体" w:hAnsi="宋体" w:cs="宋体"/>
          <w:sz w:val="24"/>
        </w:rPr>
      </w:pPr>
      <w:r>
        <w:rPr>
          <w:rFonts w:hint="eastAsia" w:ascii="宋体" w:hAnsi="宋体" w:cs="宋体"/>
          <w:sz w:val="24"/>
        </w:rPr>
        <w:t>4.1.3.1中标人应向招标人提供一套维修所需的专用工具及清单(清单附在投标文件中)。</w:t>
      </w:r>
    </w:p>
    <w:p>
      <w:pPr>
        <w:ind w:firstLine="480" w:firstLineChars="200"/>
        <w:rPr>
          <w:rFonts w:ascii="宋体" w:hAnsi="宋体" w:cs="宋体"/>
          <w:sz w:val="24"/>
        </w:rPr>
      </w:pPr>
      <w:r>
        <w:rPr>
          <w:rFonts w:hint="eastAsia" w:ascii="宋体" w:hAnsi="宋体" w:cs="宋体"/>
          <w:sz w:val="24"/>
        </w:rPr>
        <w:t>4.1.4、特殊工具</w:t>
      </w:r>
    </w:p>
    <w:p>
      <w:pPr>
        <w:ind w:firstLine="480" w:firstLineChars="200"/>
        <w:rPr>
          <w:rFonts w:ascii="宋体" w:hAnsi="宋体" w:cs="宋体"/>
          <w:sz w:val="24"/>
        </w:rPr>
      </w:pPr>
      <w:r>
        <w:rPr>
          <w:rFonts w:hint="eastAsia" w:ascii="宋体" w:hAnsi="宋体" w:cs="宋体"/>
          <w:sz w:val="24"/>
        </w:rPr>
        <w:t>4.1.4.1中标人应向各医院提供货物安装和维修所需的特殊工具及清单和中文说明书，其费用包括在投标总价内。</w:t>
      </w:r>
    </w:p>
    <w:p>
      <w:pPr>
        <w:ind w:firstLine="482" w:firstLineChars="200"/>
        <w:rPr>
          <w:rFonts w:ascii="宋体" w:hAnsi="宋体" w:cs="宋体"/>
          <w:sz w:val="24"/>
        </w:rPr>
      </w:pPr>
      <w:r>
        <w:rPr>
          <w:rFonts w:hint="eastAsia" w:ascii="宋体" w:hAnsi="宋体"/>
          <w:b/>
          <w:sz w:val="24"/>
        </w:rPr>
        <w:t>*</w:t>
      </w:r>
      <w:r>
        <w:rPr>
          <w:rFonts w:hint="eastAsia" w:ascii="宋体" w:hAnsi="宋体" w:cs="宋体"/>
          <w:sz w:val="24"/>
        </w:rPr>
        <w:t xml:space="preserve"> 4.1.5、售后服务要求</w:t>
      </w:r>
    </w:p>
    <w:p>
      <w:pPr>
        <w:ind w:firstLine="480" w:firstLineChars="200"/>
        <w:rPr>
          <w:rFonts w:ascii="宋体" w:hAnsi="宋体" w:cs="宋体"/>
          <w:sz w:val="24"/>
        </w:rPr>
      </w:pPr>
      <w:r>
        <w:rPr>
          <w:rFonts w:hint="eastAsia" w:ascii="宋体" w:hAnsi="宋体" w:cs="宋体"/>
          <w:sz w:val="24"/>
        </w:rPr>
        <w:t>4.1.5.1中标人应按招标文件中的要求对所提供的设备进行现场免费保修，终身维护。免费保修期自设备整机安装调试正常，验收签名之日起计算。保修期内，须按合同条款提供免费服务，非因操作不当造成要更换的零配件及设备由中标人负责包修、包换。中标人在免费保修期内须提供免费上门维修服务，并进行终身维护，设备运行发生故障时接到医院故障通知后1小时内响应，并在10小时内派原厂维修工程师到达设备维修地点免费负责修理或更换有缺陷的零部件，如无法及时维修，则维保时间按延误的时间两倍顺延。若维修时间超过20天仍无法维修的，医院有权要求更换设备或赔偿。免费保修期满前1个月内中标人应负责对设备进行一次免费全面检查，如发现潜在问题，应负责排除，保证设备正常运行。</w:t>
      </w:r>
    </w:p>
    <w:p>
      <w:pPr>
        <w:ind w:firstLine="480" w:firstLineChars="200"/>
        <w:rPr>
          <w:rFonts w:ascii="宋体" w:hAnsi="宋体" w:cs="宋体"/>
          <w:sz w:val="24"/>
        </w:rPr>
      </w:pPr>
      <w:r>
        <w:rPr>
          <w:rFonts w:hint="eastAsia" w:ascii="宋体" w:hAnsi="宋体" w:cs="宋体"/>
          <w:sz w:val="24"/>
        </w:rPr>
        <w:t>4.1.5.2为保障设备的维修及病人的利益，中标人在省内设置维修服务点且维修点至省内各设市区正常汽车车程不超过4个小时（提供路程说明及驻点的地址、照片、房产证或租赁合同复印件等可证明材料）。</w:t>
      </w:r>
    </w:p>
    <w:p>
      <w:pPr>
        <w:ind w:firstLine="480" w:firstLineChars="200"/>
        <w:rPr>
          <w:rFonts w:ascii="宋体" w:hAnsi="宋体" w:cs="宋体"/>
          <w:sz w:val="24"/>
        </w:rPr>
      </w:pPr>
      <w:r>
        <w:rPr>
          <w:rFonts w:hint="eastAsia" w:ascii="宋体" w:hAnsi="宋体" w:cs="宋体"/>
          <w:sz w:val="24"/>
        </w:rPr>
        <w:t>4.1.5.3为了保障设备的应急维修，中标产品生产厂家需提供驻维修服务点售后工程师名单且不少于2名。（投标人应提供工程师人员名单、身份证号、在职社保证明、能维修所投设备工程师的相关证件或证明材料）。</w:t>
      </w:r>
    </w:p>
    <w:p>
      <w:pPr>
        <w:ind w:firstLine="480" w:firstLineChars="200"/>
        <w:rPr>
          <w:rFonts w:ascii="宋体" w:hAnsi="宋体" w:cs="宋体"/>
          <w:sz w:val="24"/>
        </w:rPr>
      </w:pPr>
      <w:r>
        <w:rPr>
          <w:rFonts w:hint="eastAsia" w:ascii="宋体" w:hAnsi="宋体" w:cs="宋体"/>
          <w:sz w:val="24"/>
        </w:rPr>
        <w:t>4.1.5.4质量保证期结束后，中标人应在设备使用地区指定有维修能力的原厂工程师或代理机构对设备在必要时进行定期维护和修理。</w:t>
      </w:r>
    </w:p>
    <w:p>
      <w:pPr>
        <w:ind w:firstLine="480" w:firstLineChars="200"/>
        <w:rPr>
          <w:rFonts w:ascii="宋体" w:hAnsi="宋体" w:cs="宋体"/>
          <w:sz w:val="24"/>
        </w:rPr>
      </w:pPr>
      <w:r>
        <w:rPr>
          <w:rFonts w:hint="eastAsia" w:ascii="宋体" w:hAnsi="宋体" w:cs="宋体"/>
          <w:sz w:val="24"/>
        </w:rPr>
        <w:t>4.1.5.5质量保证期后的服务要求</w:t>
      </w:r>
    </w:p>
    <w:p>
      <w:pPr>
        <w:ind w:firstLine="480" w:firstLineChars="200"/>
        <w:rPr>
          <w:rFonts w:ascii="宋体" w:hAnsi="宋体" w:cs="宋体"/>
          <w:sz w:val="24"/>
        </w:rPr>
      </w:pPr>
      <w:r>
        <w:rPr>
          <w:rFonts w:hint="eastAsia" w:ascii="宋体" w:hAnsi="宋体" w:cs="宋体"/>
          <w:sz w:val="24"/>
        </w:rPr>
        <w:t>4.1.5.5.1质保期结束后，中标人仍应负责对设备提供售后 服务，并保障备品配件的供应。</w:t>
      </w:r>
    </w:p>
    <w:p>
      <w:pPr>
        <w:ind w:firstLine="480" w:firstLineChars="200"/>
        <w:rPr>
          <w:rFonts w:ascii="宋体" w:hAnsi="宋体" w:cs="宋体"/>
          <w:sz w:val="24"/>
        </w:rPr>
      </w:pPr>
      <w:r>
        <w:rPr>
          <w:rFonts w:hint="eastAsia" w:ascii="宋体" w:hAnsi="宋体" w:cs="宋体"/>
          <w:sz w:val="24"/>
        </w:rPr>
        <w:t>4.1.5.6投标人应在投标文件中详细提供售后 服务承诺、保障措施、保修期内的维保范围和内容、保修期后的维保服务内容，及服务费用的报价。投标人须在投标文件中承诺质量保证期后的服务不收取上门服务人工及差旅费。</w:t>
      </w:r>
    </w:p>
    <w:p>
      <w:pPr>
        <w:ind w:firstLine="480" w:firstLineChars="200"/>
        <w:rPr>
          <w:rFonts w:ascii="宋体" w:hAnsi="宋体" w:cs="宋体"/>
          <w:sz w:val="24"/>
        </w:rPr>
      </w:pPr>
      <w:r>
        <w:rPr>
          <w:rFonts w:hint="eastAsia" w:ascii="宋体" w:hAnsi="宋体" w:cs="宋体"/>
          <w:sz w:val="24"/>
        </w:rPr>
        <w:t>4.1.6、技术培训</w:t>
      </w:r>
    </w:p>
    <w:p>
      <w:pPr>
        <w:ind w:firstLine="480" w:firstLineChars="200"/>
        <w:rPr>
          <w:rFonts w:ascii="宋体" w:hAnsi="宋体" w:cs="宋体"/>
          <w:sz w:val="24"/>
        </w:rPr>
      </w:pPr>
      <w:r>
        <w:rPr>
          <w:rFonts w:hint="eastAsia" w:ascii="宋体" w:hAnsi="宋体" w:cs="宋体"/>
          <w:sz w:val="24"/>
        </w:rPr>
        <w:t>4.1.6.1中标人须免费对设备进行安装和调试，并列好计划对设备的使用操作、设备维修、故障排除、日常保养等方面提供现场技术培训，直到受训的技术人员能独立操作为止；对相应的受训人员将免费提供相应讲义教材等资料。技术培训没完成，不进行设备最终验收。</w:t>
      </w:r>
    </w:p>
    <w:p>
      <w:pPr>
        <w:ind w:firstLine="480" w:firstLineChars="200"/>
        <w:rPr>
          <w:rFonts w:ascii="宋体" w:hAnsi="宋体" w:cs="宋体"/>
          <w:sz w:val="24"/>
        </w:rPr>
      </w:pPr>
      <w:r>
        <w:rPr>
          <w:rFonts w:hint="eastAsia" w:ascii="宋体" w:hAnsi="宋体" w:cs="宋体"/>
          <w:sz w:val="24"/>
        </w:rPr>
        <w:t>4.1.7、备品备件</w:t>
      </w:r>
    </w:p>
    <w:p>
      <w:pPr>
        <w:ind w:firstLine="480" w:firstLineChars="200"/>
        <w:rPr>
          <w:rFonts w:ascii="宋体" w:hAnsi="宋体" w:cs="宋体"/>
          <w:sz w:val="24"/>
        </w:rPr>
      </w:pPr>
      <w:r>
        <w:rPr>
          <w:rFonts w:hint="eastAsia" w:ascii="宋体" w:hAnsi="宋体" w:cs="宋体"/>
          <w:sz w:val="24"/>
        </w:rPr>
        <w:t>4.1.7.1中标人应提供设备在质量保证期过后两年内所需的备品备件及清单（含价格清单，价格清单应在报价标部分列明，并说明此价格清单为该备品配件的最高限价）。</w:t>
      </w:r>
    </w:p>
    <w:p>
      <w:pPr>
        <w:ind w:firstLine="480" w:firstLineChars="200"/>
        <w:rPr>
          <w:rFonts w:ascii="宋体" w:hAnsi="宋体" w:cs="宋体"/>
          <w:sz w:val="24"/>
        </w:rPr>
      </w:pPr>
      <w:r>
        <w:rPr>
          <w:rFonts w:hint="eastAsia" w:ascii="宋体" w:hAnsi="宋体" w:cs="宋体"/>
          <w:sz w:val="24"/>
        </w:rPr>
        <w:t>4.1.7.2中标人应在中华人民共和国境内设有备品备件保税库（注明详细地址），且备品配件可保证供应10年以上。投标人应保证能迅速快捷地提供设备的备品备件。</w:t>
      </w:r>
    </w:p>
    <w:p>
      <w:pPr>
        <w:snapToGrid w:val="0"/>
        <w:spacing w:line="600" w:lineRule="exact"/>
        <w:rPr>
          <w:rFonts w:cs="宋体;SimSun" w:asciiTheme="majorEastAsia" w:hAnsiTheme="majorEastAsia" w:eastAsiaTheme="majorEastAsia"/>
          <w:b/>
          <w:sz w:val="24"/>
        </w:rPr>
      </w:pPr>
      <w:r>
        <w:rPr>
          <w:rFonts w:cs="宋体;SimSun" w:asciiTheme="majorEastAsia" w:hAnsiTheme="majorEastAsia" w:eastAsiaTheme="majorEastAsia"/>
          <w:b/>
          <w:sz w:val="24"/>
        </w:rPr>
        <w:t>四、交货：</w:t>
      </w:r>
    </w:p>
    <w:p>
      <w:pPr>
        <w:ind w:firstLine="480" w:firstLineChars="200"/>
        <w:rPr>
          <w:rFonts w:ascii="宋体" w:hAnsi="宋体" w:cs="宋体"/>
          <w:sz w:val="24"/>
        </w:rPr>
      </w:pPr>
      <w:r>
        <w:rPr>
          <w:rFonts w:hint="eastAsia" w:ascii="宋体" w:hAnsi="宋体" w:cs="宋体"/>
          <w:sz w:val="24"/>
        </w:rPr>
        <w:t>1、交货时间：合同生效后</w:t>
      </w:r>
      <w:r>
        <w:rPr>
          <w:rFonts w:hint="eastAsia" w:ascii="宋体" w:hAnsi="宋体" w:cs="宋体"/>
          <w:sz w:val="24"/>
          <w:u w:val="single"/>
        </w:rPr>
        <w:t xml:space="preserve">  60  </w:t>
      </w:r>
      <w:r>
        <w:rPr>
          <w:rFonts w:hint="eastAsia" w:ascii="宋体" w:hAnsi="宋体" w:cs="宋体"/>
          <w:sz w:val="24"/>
        </w:rPr>
        <w:t>天内交货。</w:t>
      </w:r>
    </w:p>
    <w:p>
      <w:pPr>
        <w:ind w:firstLine="480" w:firstLineChars="200"/>
        <w:rPr>
          <w:rFonts w:ascii="宋体" w:hAnsi="宋体" w:cs="宋体"/>
          <w:sz w:val="24"/>
        </w:rPr>
      </w:pPr>
      <w:r>
        <w:rPr>
          <w:rFonts w:hint="eastAsia" w:ascii="宋体" w:hAnsi="宋体" w:cs="宋体"/>
          <w:sz w:val="24"/>
        </w:rPr>
        <w:t>2、交货地点：设备配置医院指定地点。</w:t>
      </w:r>
    </w:p>
    <w:p>
      <w:pPr>
        <w:snapToGrid w:val="0"/>
        <w:spacing w:line="400" w:lineRule="atLeast"/>
        <w:rPr>
          <w:rFonts w:cs="宋体;SimSun" w:asciiTheme="majorEastAsia" w:hAnsiTheme="majorEastAsia" w:eastAsiaTheme="majorEastAsia"/>
          <w:b/>
          <w:sz w:val="24"/>
        </w:rPr>
      </w:pPr>
      <w:r>
        <w:rPr>
          <w:rFonts w:hint="eastAsia" w:ascii="宋体" w:hAnsi="宋体"/>
          <w:b/>
          <w:sz w:val="24"/>
        </w:rPr>
        <w:t>*</w:t>
      </w:r>
      <w:r>
        <w:rPr>
          <w:rFonts w:cs="宋体;SimSun" w:asciiTheme="majorEastAsia" w:hAnsiTheme="majorEastAsia" w:eastAsiaTheme="majorEastAsia"/>
          <w:b/>
          <w:sz w:val="24"/>
        </w:rPr>
        <w:t>五、</w:t>
      </w:r>
      <w:r>
        <w:rPr>
          <w:rFonts w:hint="eastAsia" w:cs="宋体;SimSun" w:asciiTheme="majorEastAsia" w:hAnsiTheme="majorEastAsia" w:eastAsiaTheme="majorEastAsia"/>
          <w:b/>
          <w:sz w:val="24"/>
        </w:rPr>
        <w:t>付款条件和方式</w:t>
      </w:r>
      <w:r>
        <w:rPr>
          <w:rFonts w:cs="宋体;SimSun" w:asciiTheme="majorEastAsia" w:hAnsiTheme="majorEastAsia" w:eastAsiaTheme="majorEastAsia"/>
          <w:b/>
          <w:sz w:val="24"/>
        </w:rPr>
        <w:t>：</w:t>
      </w:r>
    </w:p>
    <w:p>
      <w:pPr>
        <w:snapToGrid w:val="0"/>
        <w:spacing w:line="400" w:lineRule="atLeast"/>
        <w:rPr>
          <w:rFonts w:cs="宋体;SimSun" w:asciiTheme="majorEastAsia" w:hAnsiTheme="majorEastAsia" w:eastAsiaTheme="majorEastAsia"/>
          <w:sz w:val="24"/>
        </w:rPr>
      </w:pPr>
    </w:p>
    <w:tbl>
      <w:tblPr>
        <w:tblStyle w:val="30"/>
        <w:tblW w:w="5015"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292"/>
        <w:gridCol w:w="1439"/>
        <w:gridCol w:w="695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rPr>
        <w:tc>
          <w:tcPr>
            <w:tcW w:w="66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支付期次</w:t>
            </w:r>
          </w:p>
        </w:tc>
        <w:tc>
          <w:tcPr>
            <w:tcW w:w="74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支付比例(%)</w:t>
            </w:r>
          </w:p>
        </w:tc>
        <w:tc>
          <w:tcPr>
            <w:tcW w:w="358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支付期次说明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66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1</w:t>
            </w:r>
          </w:p>
        </w:tc>
        <w:tc>
          <w:tcPr>
            <w:tcW w:w="74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hint="eastAsia" w:ascii="宋体" w:hAnsi="宋体" w:eastAsia="宋体" w:cs="宋体"/>
                <w:kern w:val="0"/>
                <w:sz w:val="24"/>
              </w:rPr>
              <w:t>10%</w:t>
            </w:r>
          </w:p>
        </w:tc>
        <w:tc>
          <w:tcPr>
            <w:tcW w:w="358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hint="eastAsia" w:ascii="宋体" w:hAnsi="宋体" w:eastAsia="宋体" w:cs="宋体"/>
                <w:kern w:val="0"/>
                <w:sz w:val="24"/>
              </w:rPr>
              <w:t>合同签订后，预付合同金额的10%，同时</w:t>
            </w:r>
            <w:r>
              <w:rPr>
                <w:rFonts w:ascii="宋体" w:hAnsi="宋体" w:eastAsia="宋体" w:cs="宋体"/>
                <w:kern w:val="0"/>
                <w:sz w:val="24"/>
              </w:rPr>
              <w:t>中标人应提供银行出具的100%预付款退款保函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66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hint="eastAsia" w:ascii="宋体" w:hAnsi="宋体" w:eastAsia="宋体" w:cs="宋体"/>
                <w:kern w:val="0"/>
                <w:sz w:val="24"/>
              </w:rPr>
              <w:t>2</w:t>
            </w:r>
          </w:p>
        </w:tc>
        <w:tc>
          <w:tcPr>
            <w:tcW w:w="74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hint="eastAsia" w:ascii="宋体" w:hAnsi="宋体" w:eastAsia="宋体" w:cs="宋体"/>
                <w:kern w:val="0"/>
                <w:sz w:val="24"/>
              </w:rPr>
              <w:t>80</w:t>
            </w:r>
          </w:p>
        </w:tc>
        <w:tc>
          <w:tcPr>
            <w:tcW w:w="358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签订合同,货物验收合格后，按照医院的流程支付</w:t>
            </w:r>
            <w:r>
              <w:rPr>
                <w:rFonts w:hint="eastAsia" w:ascii="宋体" w:hAnsi="宋体" w:eastAsia="宋体" w:cs="宋体"/>
                <w:kern w:val="0"/>
                <w:sz w:val="24"/>
              </w:rPr>
              <w:t>至合同金额的</w:t>
            </w:r>
            <w:r>
              <w:rPr>
                <w:rFonts w:ascii="宋体" w:hAnsi="宋体" w:eastAsia="宋体" w:cs="宋体"/>
                <w:kern w:val="0"/>
                <w:sz w:val="24"/>
              </w:rPr>
              <w:t>90%</w:t>
            </w:r>
            <w:r>
              <w:rPr>
                <w:rFonts w:hint="eastAsia" w:ascii="宋体" w:hAnsi="宋体" w:eastAsia="宋体" w:cs="宋体"/>
                <w:kern w:val="0"/>
                <w:sz w:val="24"/>
              </w:rPr>
              <w:t>(医院付款进度原则上不超过验收合格后60天)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0" w:hRule="atLeast"/>
        </w:trPr>
        <w:tc>
          <w:tcPr>
            <w:tcW w:w="667"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hint="eastAsia" w:ascii="宋体" w:hAnsi="宋体" w:eastAsia="宋体" w:cs="宋体"/>
                <w:kern w:val="0"/>
                <w:sz w:val="24"/>
              </w:rPr>
              <w:t>3</w:t>
            </w:r>
          </w:p>
        </w:tc>
        <w:tc>
          <w:tcPr>
            <w:tcW w:w="743"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10</w:t>
            </w:r>
          </w:p>
        </w:tc>
        <w:tc>
          <w:tcPr>
            <w:tcW w:w="358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kern w:val="0"/>
                <w:sz w:val="24"/>
              </w:rPr>
            </w:pPr>
            <w:r>
              <w:rPr>
                <w:rFonts w:ascii="宋体" w:hAnsi="宋体" w:eastAsia="宋体" w:cs="宋体"/>
                <w:kern w:val="0"/>
                <w:sz w:val="24"/>
              </w:rPr>
              <w:t>验收合格一年后支付</w:t>
            </w:r>
            <w:r>
              <w:rPr>
                <w:rFonts w:hint="eastAsia" w:ascii="宋体" w:hAnsi="宋体" w:eastAsia="宋体" w:cs="宋体"/>
                <w:kern w:val="0"/>
                <w:sz w:val="24"/>
              </w:rPr>
              <w:t>余款</w:t>
            </w:r>
            <w:r>
              <w:rPr>
                <w:rFonts w:ascii="宋体" w:hAnsi="宋体" w:eastAsia="宋体" w:cs="宋体"/>
                <w:kern w:val="0"/>
                <w:sz w:val="24"/>
              </w:rPr>
              <w:t>10%</w:t>
            </w:r>
          </w:p>
        </w:tc>
      </w:tr>
    </w:tbl>
    <w:p>
      <w:pPr>
        <w:snapToGrid w:val="0"/>
        <w:spacing w:line="440" w:lineRule="atLeast"/>
        <w:ind w:firstLine="480"/>
        <w:rPr>
          <w:rFonts w:cs="宋体;SimSun" w:asciiTheme="majorEastAsia" w:hAnsiTheme="majorEastAsia" w:eastAsiaTheme="majorEastAsia"/>
          <w:sz w:val="24"/>
        </w:rPr>
      </w:pPr>
    </w:p>
    <w:p>
      <w:pPr>
        <w:rPr>
          <w:rFonts w:cs="宋体;SimSun" w:asciiTheme="majorEastAsia" w:hAnsiTheme="majorEastAsia" w:eastAsiaTheme="majorEastAsia"/>
          <w:b/>
          <w:sz w:val="28"/>
          <w:szCs w:val="28"/>
        </w:rPr>
      </w:pPr>
      <w:r>
        <w:rPr>
          <w:rFonts w:cs="宋体;SimSun" w:asciiTheme="majorEastAsia" w:hAnsiTheme="majorEastAsia" w:eastAsiaTheme="majorEastAsia"/>
          <w:b/>
          <w:sz w:val="28"/>
          <w:szCs w:val="28"/>
        </w:rPr>
        <w:br w:type="page"/>
      </w:r>
    </w:p>
    <w:p>
      <w:pPr>
        <w:spacing w:line="400" w:lineRule="exact"/>
        <w:jc w:val="left"/>
        <w:rPr>
          <w:rFonts w:cs="宋体;SimSun" w:asciiTheme="majorEastAsia" w:hAnsiTheme="majorEastAsia" w:eastAsiaTheme="majorEastAsia"/>
          <w:b/>
          <w:sz w:val="28"/>
          <w:szCs w:val="28"/>
        </w:rPr>
      </w:pPr>
      <w:r>
        <w:rPr>
          <w:rFonts w:cs="宋体;SimSun" w:asciiTheme="majorEastAsia" w:hAnsiTheme="majorEastAsia" w:eastAsiaTheme="majorEastAsia"/>
          <w:b/>
          <w:sz w:val="28"/>
          <w:szCs w:val="28"/>
        </w:rPr>
        <w:t>附页</w:t>
      </w:r>
      <w:r>
        <w:rPr>
          <w:rFonts w:hint="eastAsia" w:cs="宋体;SimSun" w:asciiTheme="majorEastAsia" w:hAnsiTheme="majorEastAsia" w:eastAsiaTheme="majorEastAsia"/>
          <w:b/>
          <w:sz w:val="28"/>
          <w:szCs w:val="28"/>
        </w:rPr>
        <w:t>1</w:t>
      </w:r>
      <w:r>
        <w:rPr>
          <w:rFonts w:cs="宋体;SimSun" w:asciiTheme="majorEastAsia" w:hAnsiTheme="majorEastAsia" w:eastAsiaTheme="majorEastAsia"/>
          <w:b/>
          <w:sz w:val="28"/>
          <w:szCs w:val="28"/>
        </w:rPr>
        <w:t xml:space="preserve">           </w:t>
      </w:r>
      <w:r>
        <w:rPr>
          <w:rFonts w:hint="eastAsia" w:cs="宋体;SimSun" w:asciiTheme="majorEastAsia" w:hAnsiTheme="majorEastAsia" w:eastAsiaTheme="majorEastAsia"/>
          <w:b/>
          <w:sz w:val="28"/>
          <w:szCs w:val="28"/>
        </w:rPr>
        <w:t xml:space="preserve">       </w:t>
      </w:r>
      <w:r>
        <w:rPr>
          <w:rFonts w:cs="宋体;SimSun" w:asciiTheme="majorEastAsia" w:hAnsiTheme="majorEastAsia" w:eastAsiaTheme="majorEastAsia"/>
          <w:b/>
          <w:sz w:val="28"/>
          <w:szCs w:val="28"/>
        </w:rPr>
        <w:t>招标（代理）服务费承诺书</w:t>
      </w:r>
    </w:p>
    <w:p>
      <w:pPr>
        <w:snapToGrid w:val="0"/>
        <w:spacing w:line="400" w:lineRule="exact"/>
        <w:ind w:firstLine="560"/>
        <w:rPr>
          <w:rFonts w:cs="宋体;SimSun" w:asciiTheme="majorEastAsia" w:hAnsiTheme="majorEastAsia" w:eastAsiaTheme="majorEastAsia"/>
          <w:sz w:val="28"/>
          <w:szCs w:val="28"/>
        </w:rPr>
      </w:pPr>
    </w:p>
    <w:p>
      <w:pPr>
        <w:snapToGrid w:val="0"/>
        <w:spacing w:line="400" w:lineRule="exact"/>
        <w:rPr>
          <w:rFonts w:ascii="宋体" w:hAnsi="宋体" w:eastAsia="宋体" w:cs="宋体"/>
          <w:sz w:val="24"/>
          <w:u w:val="single"/>
        </w:rPr>
      </w:pPr>
      <w:r>
        <w:rPr>
          <w:rFonts w:hint="eastAsia" w:ascii="宋体" w:hAnsi="宋体" w:eastAsia="宋体" w:cs="宋体"/>
          <w:sz w:val="24"/>
        </w:rPr>
        <w:t>致：</w:t>
      </w:r>
      <w:r>
        <w:rPr>
          <w:rFonts w:hint="eastAsia" w:ascii="宋体" w:hAnsi="宋体" w:eastAsia="宋体" w:cs="宋体"/>
          <w:sz w:val="24"/>
          <w:u w:val="single"/>
        </w:rPr>
        <w:t>福建省新卫招标代理有限公司</w:t>
      </w:r>
    </w:p>
    <w:p>
      <w:pPr>
        <w:snapToGrid w:val="0"/>
        <w:spacing w:line="400" w:lineRule="exact"/>
        <w:ind w:firstLine="424" w:firstLineChars="177"/>
        <w:rPr>
          <w:rFonts w:ascii="宋体" w:hAnsi="宋体" w:eastAsia="宋体" w:cs="宋体"/>
          <w:sz w:val="24"/>
        </w:rPr>
      </w:pPr>
      <w:r>
        <w:rPr>
          <w:rFonts w:hint="eastAsia" w:ascii="宋体" w:hAnsi="宋体" w:eastAsia="宋体" w:cs="宋体"/>
          <w:sz w:val="24"/>
        </w:rPr>
        <w:t>我们在贵司组织的</w:t>
      </w:r>
      <w:r>
        <w:rPr>
          <w:rFonts w:hint="eastAsia" w:ascii="宋体" w:hAnsi="宋体" w:eastAsia="宋体" w:cs="宋体"/>
          <w:sz w:val="24"/>
          <w:u w:val="single"/>
        </w:rPr>
        <w:t>福建省部分乙类大型医用设备（2021年第一批次）集中采购</w:t>
      </w:r>
      <w:r>
        <w:rPr>
          <w:rFonts w:hint="eastAsia" w:ascii="宋体" w:hAnsi="宋体" w:eastAsia="宋体" w:cs="宋体"/>
          <w:sz w:val="24"/>
        </w:rPr>
        <w:t>项目招标中投标（</w:t>
      </w:r>
      <w:r>
        <w:rPr>
          <w:rFonts w:hint="eastAsia" w:ascii="宋体" w:hAnsi="宋体" w:eastAsia="宋体" w:cs="宋体"/>
          <w:sz w:val="24"/>
          <w:u w:val="single"/>
        </w:rPr>
        <w:t>招标编号：1051-214FJXW21001</w:t>
      </w:r>
      <w:r>
        <w:rPr>
          <w:rFonts w:hint="eastAsia" w:ascii="宋体" w:hAnsi="宋体" w:eastAsia="宋体" w:cs="宋体"/>
          <w:sz w:val="24"/>
        </w:rPr>
        <w:t>），如获中标。我们保证按招标文件的规定，以转账的方式，向贵方缴交招标（代理）服务费。</w:t>
      </w:r>
    </w:p>
    <w:p>
      <w:pPr>
        <w:snapToGrid w:val="0"/>
        <w:spacing w:line="400" w:lineRule="exact"/>
        <w:ind w:left="120" w:firstLine="480"/>
        <w:rPr>
          <w:rFonts w:ascii="宋体" w:hAnsi="宋体" w:eastAsia="宋体" w:cs="宋体"/>
          <w:sz w:val="24"/>
        </w:rPr>
      </w:pPr>
      <w:r>
        <w:rPr>
          <w:rFonts w:hint="eastAsia" w:ascii="宋体" w:hAnsi="宋体" w:eastAsia="宋体" w:cs="宋体"/>
          <w:sz w:val="24"/>
        </w:rPr>
        <w:t>我方如违约，愿凭贵方开出的违约通知，按上述承诺金额的200%在投标保证金或在设备买方付给卖方的中标设备货款中扣缴。</w:t>
      </w:r>
    </w:p>
    <w:p>
      <w:pPr>
        <w:snapToGrid w:val="0"/>
        <w:spacing w:line="400" w:lineRule="exact"/>
        <w:ind w:firstLine="480"/>
        <w:rPr>
          <w:rFonts w:ascii="宋体" w:hAnsi="宋体" w:eastAsia="宋体" w:cs="宋体"/>
          <w:sz w:val="24"/>
        </w:rPr>
      </w:pPr>
    </w:p>
    <w:p>
      <w:pPr>
        <w:snapToGrid w:val="0"/>
        <w:spacing w:line="400" w:lineRule="exact"/>
        <w:ind w:firstLine="480"/>
        <w:rPr>
          <w:rFonts w:ascii="宋体" w:hAnsi="宋体" w:eastAsia="宋体" w:cs="宋体"/>
          <w:sz w:val="24"/>
        </w:rPr>
      </w:pPr>
      <w:r>
        <w:rPr>
          <w:rFonts w:hint="eastAsia" w:ascii="宋体" w:hAnsi="宋体" w:eastAsia="宋体" w:cs="宋体"/>
          <w:sz w:val="24"/>
        </w:rPr>
        <w:t>特此承诺！</w:t>
      </w:r>
    </w:p>
    <w:p>
      <w:pPr>
        <w:snapToGrid w:val="0"/>
        <w:spacing w:line="400" w:lineRule="exact"/>
        <w:rPr>
          <w:rFonts w:ascii="宋体" w:hAnsi="宋体" w:eastAsia="宋体" w:cs="宋体"/>
          <w:sz w:val="24"/>
        </w:rPr>
      </w:pPr>
    </w:p>
    <w:p>
      <w:pPr>
        <w:snapToGrid w:val="0"/>
        <w:spacing w:line="400" w:lineRule="exact"/>
        <w:ind w:firstLine="480"/>
        <w:rPr>
          <w:rFonts w:ascii="宋体" w:hAnsi="宋体" w:eastAsia="宋体" w:cs="宋体"/>
          <w:sz w:val="24"/>
        </w:rPr>
      </w:pPr>
    </w:p>
    <w:p>
      <w:pPr>
        <w:snapToGrid w:val="0"/>
        <w:spacing w:line="400" w:lineRule="exact"/>
        <w:ind w:firstLine="480"/>
        <w:rPr>
          <w:rFonts w:ascii="宋体" w:hAnsi="宋体" w:eastAsia="宋体" w:cs="宋体"/>
          <w:sz w:val="24"/>
        </w:rPr>
      </w:pPr>
      <w:r>
        <w:rPr>
          <w:rFonts w:hint="eastAsia" w:ascii="宋体" w:hAnsi="宋体" w:eastAsia="宋体" w:cs="宋体"/>
          <w:sz w:val="24"/>
        </w:rPr>
        <w:t>投标人名称：</w:t>
      </w:r>
      <w:r>
        <w:rPr>
          <w:rFonts w:hint="eastAsia" w:ascii="宋体" w:hAnsi="宋体" w:eastAsia="宋体" w:cs="宋体"/>
          <w:sz w:val="24"/>
          <w:u w:val="single"/>
        </w:rPr>
        <w:t xml:space="preserve">                         　　</w:t>
      </w:r>
    </w:p>
    <w:p>
      <w:pPr>
        <w:snapToGrid w:val="0"/>
        <w:spacing w:line="400" w:lineRule="exact"/>
        <w:ind w:firstLine="480"/>
        <w:rPr>
          <w:rFonts w:ascii="宋体" w:hAnsi="宋体" w:eastAsia="宋体" w:cs="宋体"/>
          <w:sz w:val="24"/>
        </w:rPr>
      </w:pPr>
      <w:r>
        <w:rPr>
          <w:rFonts w:hint="eastAsia" w:ascii="宋体" w:hAnsi="宋体" w:eastAsia="宋体" w:cs="宋体"/>
          <w:sz w:val="24"/>
        </w:rPr>
        <w:t>授权代表签字：</w:t>
      </w:r>
      <w:r>
        <w:rPr>
          <w:rFonts w:hint="eastAsia" w:ascii="宋体" w:hAnsi="宋体" w:eastAsia="宋体" w:cs="宋体"/>
          <w:sz w:val="24"/>
          <w:u w:val="single"/>
        </w:rPr>
        <w:t xml:space="preserve">                          　</w:t>
      </w:r>
    </w:p>
    <w:p>
      <w:pPr>
        <w:snapToGrid w:val="0"/>
        <w:spacing w:line="400" w:lineRule="exact"/>
        <w:ind w:firstLine="480"/>
        <w:rPr>
          <w:rFonts w:ascii="宋体" w:hAnsi="宋体" w:eastAsia="宋体" w:cs="宋体"/>
          <w:sz w:val="24"/>
        </w:rPr>
      </w:pPr>
      <w:r>
        <w:rPr>
          <w:rFonts w:hint="eastAsia" w:ascii="宋体" w:hAnsi="宋体" w:eastAsia="宋体" w:cs="宋体"/>
          <w:sz w:val="24"/>
        </w:rPr>
        <w:t>投标人盖章：</w:t>
      </w:r>
    </w:p>
    <w:p>
      <w:pPr>
        <w:snapToGrid w:val="0"/>
        <w:spacing w:line="400" w:lineRule="exact"/>
        <w:ind w:firstLine="480"/>
        <w:rPr>
          <w:rFonts w:ascii="宋体" w:hAnsi="宋体" w:eastAsia="宋体" w:cs="宋体"/>
          <w:sz w:val="24"/>
        </w:rPr>
      </w:pPr>
      <w:r>
        <w:rPr>
          <w:rFonts w:hint="eastAsia" w:ascii="宋体" w:hAnsi="宋体" w:eastAsia="宋体" w:cs="宋体"/>
          <w:sz w:val="24"/>
        </w:rPr>
        <w:t>地址：</w:t>
      </w:r>
    </w:p>
    <w:p>
      <w:pPr>
        <w:snapToGrid w:val="0"/>
        <w:spacing w:line="400" w:lineRule="exact"/>
        <w:ind w:firstLine="480"/>
        <w:rPr>
          <w:rFonts w:ascii="宋体" w:hAnsi="宋体" w:eastAsia="宋体" w:cs="宋体"/>
          <w:sz w:val="24"/>
        </w:rPr>
      </w:pPr>
      <w:r>
        <w:rPr>
          <w:rFonts w:hint="eastAsia" w:ascii="宋体" w:hAnsi="宋体" w:eastAsia="宋体" w:cs="宋体"/>
          <w:sz w:val="24"/>
        </w:rPr>
        <w:t xml:space="preserve">邮编：  电话： </w:t>
      </w:r>
    </w:p>
    <w:p>
      <w:pPr>
        <w:snapToGrid w:val="0"/>
        <w:spacing w:line="400" w:lineRule="exact"/>
        <w:ind w:firstLine="480"/>
        <w:rPr>
          <w:rFonts w:ascii="宋体" w:hAnsi="宋体" w:eastAsia="宋体" w:cs="宋体"/>
          <w:sz w:val="24"/>
        </w:rPr>
      </w:pPr>
      <w:r>
        <w:rPr>
          <w:rFonts w:hint="eastAsia" w:ascii="宋体" w:hAnsi="宋体" w:eastAsia="宋体" w:cs="宋体"/>
          <w:sz w:val="24"/>
        </w:rPr>
        <w:t xml:space="preserve">传真：  日期： </w:t>
      </w:r>
    </w:p>
    <w:p>
      <w:pPr>
        <w:snapToGrid w:val="0"/>
        <w:spacing w:line="400" w:lineRule="exact"/>
        <w:rPr>
          <w:rFonts w:ascii="宋体" w:hAnsi="宋体" w:eastAsia="宋体" w:cs="宋体"/>
          <w:sz w:val="24"/>
        </w:rPr>
      </w:pPr>
    </w:p>
    <w:p>
      <w:pPr>
        <w:snapToGrid w:val="0"/>
        <w:spacing w:line="400" w:lineRule="exact"/>
        <w:ind w:firstLine="480"/>
        <w:rPr>
          <w:rFonts w:ascii="宋体" w:hAnsi="宋体" w:eastAsia="宋体" w:cs="宋体"/>
          <w:b/>
          <w:sz w:val="24"/>
        </w:rPr>
      </w:pPr>
      <w:r>
        <w:rPr>
          <w:rFonts w:hint="eastAsia" w:ascii="宋体" w:hAnsi="宋体" w:eastAsia="宋体" w:cs="宋体"/>
          <w:b/>
          <w:sz w:val="24"/>
        </w:rPr>
        <w:t>注：缺少此承诺书将导致投标文件被拒绝。</w:t>
      </w:r>
    </w:p>
    <w:p>
      <w:pPr>
        <w:snapToGrid w:val="0"/>
        <w:spacing w:line="400" w:lineRule="exact"/>
        <w:ind w:firstLine="480"/>
        <w:rPr>
          <w:rFonts w:ascii="宋体" w:hAnsi="宋体" w:eastAsia="宋体" w:cs="宋体"/>
          <w:b/>
          <w:sz w:val="24"/>
        </w:rPr>
      </w:pPr>
    </w:p>
    <w:p>
      <w:pPr>
        <w:snapToGrid w:val="0"/>
        <w:spacing w:line="400" w:lineRule="exact"/>
        <w:ind w:firstLine="480"/>
        <w:rPr>
          <w:rFonts w:ascii="宋体" w:hAnsi="宋体" w:eastAsia="宋体" w:cs="宋体"/>
          <w:sz w:val="24"/>
        </w:rPr>
      </w:pPr>
      <w:r>
        <w:rPr>
          <w:rFonts w:hint="eastAsia" w:ascii="宋体" w:hAnsi="宋体" w:eastAsia="宋体" w:cs="宋体"/>
          <w:sz w:val="24"/>
        </w:rPr>
        <w:t>附：招标（代理）服务费收费标准：招标（代理）服务费根据以下收费费率标准按差额定率累进法计算，按计算后整体下浮</w:t>
      </w:r>
      <w:r>
        <w:rPr>
          <w:rFonts w:hint="eastAsia" w:ascii="宋体" w:hAnsi="宋体" w:eastAsia="宋体" w:cs="宋体"/>
          <w:sz w:val="24"/>
          <w:u w:val="single"/>
        </w:rPr>
        <w:t xml:space="preserve"> 50% </w:t>
      </w:r>
      <w:r>
        <w:rPr>
          <w:rFonts w:hint="eastAsia" w:ascii="宋体" w:hAnsi="宋体" w:eastAsia="宋体" w:cs="宋体"/>
          <w:sz w:val="24"/>
        </w:rPr>
        <w:t>收取。</w:t>
      </w:r>
    </w:p>
    <w:p>
      <w:pPr>
        <w:snapToGrid w:val="0"/>
        <w:spacing w:line="400" w:lineRule="exact"/>
        <w:ind w:firstLine="480"/>
        <w:rPr>
          <w:rFonts w:ascii="宋体" w:hAnsi="宋体" w:eastAsia="宋体" w:cs="宋体"/>
          <w:sz w:val="24"/>
        </w:rPr>
      </w:pPr>
    </w:p>
    <w:p>
      <w:pPr>
        <w:snapToGrid w:val="0"/>
        <w:spacing w:line="360" w:lineRule="auto"/>
        <w:ind w:firstLine="480"/>
        <w:rPr>
          <w:rFonts w:ascii="宋体" w:hAnsi="宋体" w:eastAsia="宋体" w:cs="宋体"/>
          <w:sz w:val="24"/>
        </w:rPr>
      </w:pPr>
      <w:r>
        <w:rPr>
          <w:rFonts w:hint="eastAsia" w:ascii="宋体" w:hAnsi="宋体" w:eastAsia="宋体" w:cs="宋体"/>
          <w:sz w:val="24"/>
        </w:rPr>
        <w:t>中标金额（万元）           收费费率标准</w:t>
      </w:r>
    </w:p>
    <w:p>
      <w:pPr>
        <w:snapToGrid w:val="0"/>
        <w:spacing w:line="360" w:lineRule="auto"/>
        <w:ind w:firstLine="480"/>
        <w:rPr>
          <w:rFonts w:ascii="宋体" w:hAnsi="宋体" w:eastAsia="宋体" w:cs="宋体"/>
          <w:sz w:val="24"/>
        </w:rPr>
      </w:pPr>
      <w:r>
        <w:rPr>
          <w:rFonts w:hint="eastAsia" w:ascii="宋体" w:hAnsi="宋体" w:eastAsia="宋体" w:cs="宋体"/>
          <w:sz w:val="24"/>
        </w:rPr>
        <w:t>100以下                        1.50%</w:t>
      </w:r>
    </w:p>
    <w:p>
      <w:pPr>
        <w:snapToGrid w:val="0"/>
        <w:spacing w:line="360" w:lineRule="auto"/>
        <w:ind w:firstLine="480"/>
        <w:rPr>
          <w:rFonts w:ascii="宋体" w:hAnsi="宋体" w:eastAsia="宋体" w:cs="宋体"/>
          <w:sz w:val="24"/>
        </w:rPr>
      </w:pPr>
      <w:r>
        <w:rPr>
          <w:rFonts w:hint="eastAsia" w:ascii="宋体" w:hAnsi="宋体" w:eastAsia="宋体" w:cs="宋体"/>
          <w:sz w:val="24"/>
        </w:rPr>
        <w:t>100~500                         1.10%</w:t>
      </w:r>
    </w:p>
    <w:p>
      <w:pPr>
        <w:snapToGrid w:val="0"/>
        <w:spacing w:line="360" w:lineRule="auto"/>
        <w:ind w:firstLine="480"/>
        <w:rPr>
          <w:rFonts w:ascii="宋体" w:hAnsi="宋体" w:eastAsia="宋体" w:cs="宋体"/>
          <w:sz w:val="24"/>
        </w:rPr>
      </w:pPr>
      <w:r>
        <w:rPr>
          <w:rFonts w:hint="eastAsia" w:ascii="宋体" w:hAnsi="宋体" w:eastAsia="宋体" w:cs="宋体"/>
          <w:sz w:val="24"/>
        </w:rPr>
        <w:t>500~1000                        0.80%</w:t>
      </w:r>
    </w:p>
    <w:p>
      <w:pPr>
        <w:snapToGrid w:val="0"/>
        <w:spacing w:line="360" w:lineRule="auto"/>
        <w:ind w:firstLine="480"/>
        <w:rPr>
          <w:rFonts w:ascii="宋体" w:hAnsi="宋体" w:eastAsia="宋体" w:cs="宋体"/>
          <w:sz w:val="24"/>
        </w:rPr>
      </w:pPr>
      <w:r>
        <w:rPr>
          <w:rFonts w:hint="eastAsia" w:ascii="宋体" w:hAnsi="宋体" w:eastAsia="宋体" w:cs="宋体"/>
          <w:sz w:val="24"/>
        </w:rPr>
        <w:t>1000~5000                       0.50%</w:t>
      </w:r>
    </w:p>
    <w:p>
      <w:pPr>
        <w:snapToGrid w:val="0"/>
        <w:spacing w:line="360" w:lineRule="auto"/>
        <w:ind w:firstLine="480"/>
        <w:rPr>
          <w:rFonts w:ascii="宋体" w:hAnsi="宋体" w:eastAsia="宋体" w:cs="宋体"/>
          <w:sz w:val="24"/>
        </w:rPr>
      </w:pPr>
      <w:r>
        <w:rPr>
          <w:rFonts w:hint="eastAsia" w:ascii="宋体" w:hAnsi="宋体" w:eastAsia="宋体" w:cs="宋体"/>
          <w:sz w:val="24"/>
        </w:rPr>
        <w:t>5000—10000                     0.25%</w:t>
      </w:r>
    </w:p>
    <w:p>
      <w:pPr>
        <w:snapToGrid w:val="0"/>
        <w:spacing w:line="400" w:lineRule="exact"/>
        <w:ind w:firstLine="480"/>
        <w:rPr>
          <w:rFonts w:ascii="宋体" w:hAnsi="宋体" w:eastAsia="宋体" w:cs="宋体"/>
          <w:sz w:val="24"/>
        </w:rPr>
      </w:pPr>
    </w:p>
    <w:p>
      <w:pPr>
        <w:snapToGrid w:val="0"/>
        <w:spacing w:line="400" w:lineRule="exact"/>
        <w:rPr>
          <w:rFonts w:ascii="宋体" w:hAnsi="宋体" w:eastAsia="宋体" w:cs="宋体"/>
          <w:sz w:val="24"/>
        </w:rPr>
      </w:pPr>
    </w:p>
    <w:p>
      <w:pPr>
        <w:spacing w:line="400" w:lineRule="exact"/>
        <w:rPr>
          <w:rFonts w:ascii="宋体" w:hAnsi="宋体" w:eastAsia="宋体" w:cs="宋体"/>
          <w:b/>
          <w:bCs/>
          <w:kern w:val="0"/>
          <w:sz w:val="24"/>
          <w:lang w:val="zh-CN"/>
        </w:rPr>
      </w:pPr>
    </w:p>
    <w:sectPr>
      <w:headerReference r:id="rId7" w:type="default"/>
      <w:footerReference r:id="rId8" w:type="default"/>
      <w:pgSz w:w="11906" w:h="16838"/>
      <w:pgMar w:top="1134" w:right="1134" w:bottom="1134" w:left="1134" w:header="851" w:footer="992"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黑体"/>
    <w:panose1 w:val="00000000000000000000"/>
    <w:charset w:val="86"/>
    <w:family w:val="roman"/>
    <w:pitch w:val="default"/>
    <w:sig w:usb0="00000000" w:usb1="00000000" w:usb2="00000000" w:usb3="00000000" w:csb0="00000000" w:csb1="00000000"/>
  </w:font>
  <w:font w:name="仿宋体;宋体">
    <w:altName w:val="宋体"/>
    <w:panose1 w:val="00000000000000000000"/>
    <w:charset w:val="86"/>
    <w:family w:val="roman"/>
    <w:pitch w:val="default"/>
    <w:sig w:usb0="00000000" w:usb1="00000000" w:usb2="00000000" w:usb3="00000000" w:csb0="00000000" w:csb1="00000000"/>
  </w:font>
  <w:font w:name="DejaVu Sans">
    <w:altName w:val="Arial"/>
    <w:panose1 w:val="00000000000000000000"/>
    <w:charset w:val="00"/>
    <w:family w:val="swiss"/>
    <w:pitch w:val="default"/>
    <w:sig w:usb0="00000000" w:usb1="00000000" w:usb2="0A246029" w:usb3="00000000" w:csb0="0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00000000"/>
  </w:font>
  <w:font w:name="隶书">
    <w:altName w:val="微软雅黑"/>
    <w:panose1 w:val="00000000000000000000"/>
    <w:charset w:val="86"/>
    <w:family w:val="modern"/>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仿宋">
    <w:altName w:val="仿宋"/>
    <w:panose1 w:val="00000000000000000000"/>
    <w:charset w:val="86"/>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L Univers 45 Light">
    <w:altName w:val="Arial"/>
    <w:panose1 w:val="00000000000000000000"/>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18"/>
                  <w:rPr>
                    <w:rStyle w:val="34"/>
                  </w:rPr>
                </w:pPr>
                <w:r>
                  <w:fldChar w:fldCharType="begin"/>
                </w:r>
                <w:r>
                  <w:rPr>
                    <w:rStyle w:val="34"/>
                  </w:rPr>
                  <w:instrText xml:space="preserve">PAGE  </w:instrText>
                </w:r>
                <w:r>
                  <w:fldChar w:fldCharType="separate"/>
                </w:r>
                <w:r>
                  <w:rPr>
                    <w:rStyle w:val="34"/>
                  </w:rP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path/>
          <v:fill on="f" focussize="0,0"/>
          <v:stroke on="f" weight="0.5pt"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39"/>
    </w:sdtPr>
    <w:sdtContent>
      <w:p>
        <w:pPr>
          <w:pStyle w:val="18"/>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4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42"/>
    </w:sdtPr>
    <w:sdtContent>
      <w:p>
        <w:pPr>
          <w:pStyle w:val="18"/>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31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BC725D"/>
    <w:multiLevelType w:val="multilevel"/>
    <w:tmpl w:val="20BC725D"/>
    <w:lvl w:ilvl="0" w:tentative="0">
      <w:start w:val="8"/>
      <w:numFmt w:val="chineseCountingThousand"/>
      <w:lvlText w:val="第%1章"/>
      <w:lvlJc w:val="left"/>
      <w:pPr>
        <w:tabs>
          <w:tab w:val="left" w:pos="1416"/>
        </w:tabs>
        <w:ind w:left="1416" w:hanging="1416"/>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
    <w:nsid w:val="46526D3B"/>
    <w:multiLevelType w:val="multilevel"/>
    <w:tmpl w:val="46526D3B"/>
    <w:lvl w:ilvl="0" w:tentative="0">
      <w:start w:val="1"/>
      <w:numFmt w:val="none"/>
      <w:suff w:val="nothing"/>
      <w:lvlText w:val=""/>
      <w:lvlJc w:val="left"/>
      <w:pPr>
        <w:ind w:left="0" w:firstLine="0"/>
      </w:pPr>
    </w:lvl>
    <w:lvl w:ilvl="1" w:tentative="0">
      <w:start w:val="1"/>
      <w:numFmt w:val="none"/>
      <w:suff w:val="nothing"/>
      <w:lvlText w:val=""/>
      <w:lvlJc w:val="left"/>
      <w:pPr>
        <w:ind w:left="0" w:firstLine="0"/>
      </w:pPr>
    </w:lvl>
    <w:lvl w:ilvl="2" w:tentative="0">
      <w:start w:val="1"/>
      <w:numFmt w:val="decimal"/>
      <w:pStyle w:val="39"/>
      <w:lvlText w:val="%3."/>
      <w:lvlJc w:val="left"/>
      <w:pPr>
        <w:tabs>
          <w:tab w:val="left" w:pos="1440"/>
        </w:tabs>
        <w:ind w:left="1440" w:hanging="360"/>
      </w:pPr>
    </w:lvl>
    <w:lvl w:ilvl="3" w:tentative="0">
      <w:start w:val="1"/>
      <w:numFmt w:val="decimal"/>
      <w:pStyle w:val="40"/>
      <w:lvlText w:val="%4."/>
      <w:lvlJc w:val="left"/>
      <w:pPr>
        <w:tabs>
          <w:tab w:val="left" w:pos="1800"/>
        </w:tabs>
        <w:ind w:left="1800" w:hanging="360"/>
      </w:pPr>
    </w:lvl>
    <w:lvl w:ilvl="4" w:tentative="0">
      <w:start w:val="1"/>
      <w:numFmt w:val="decimal"/>
      <w:pStyle w:val="41"/>
      <w:lvlText w:val="%5."/>
      <w:lvlJc w:val="left"/>
      <w:pPr>
        <w:tabs>
          <w:tab w:val="left" w:pos="2160"/>
        </w:tabs>
        <w:ind w:left="2160" w:hanging="360"/>
      </w:pPr>
    </w:lvl>
    <w:lvl w:ilvl="5" w:tentative="0">
      <w:start w:val="1"/>
      <w:numFmt w:val="decimal"/>
      <w:pStyle w:val="42"/>
      <w:lvlText w:val="%6."/>
      <w:lvlJc w:val="left"/>
      <w:pPr>
        <w:tabs>
          <w:tab w:val="left" w:pos="2520"/>
        </w:tabs>
        <w:ind w:left="2520" w:hanging="360"/>
      </w:pPr>
    </w:lvl>
    <w:lvl w:ilvl="6" w:tentative="0">
      <w:start w:val="1"/>
      <w:numFmt w:val="decimal"/>
      <w:pStyle w:val="43"/>
      <w:lvlText w:val="%7."/>
      <w:lvlJc w:val="left"/>
      <w:pPr>
        <w:tabs>
          <w:tab w:val="left" w:pos="2880"/>
        </w:tabs>
        <w:ind w:left="2880" w:hanging="360"/>
      </w:pPr>
    </w:lvl>
    <w:lvl w:ilvl="7" w:tentative="0">
      <w:start w:val="1"/>
      <w:numFmt w:val="decimal"/>
      <w:pStyle w:val="44"/>
      <w:lvlText w:val="%8."/>
      <w:lvlJc w:val="left"/>
      <w:pPr>
        <w:tabs>
          <w:tab w:val="left" w:pos="3240"/>
        </w:tabs>
        <w:ind w:left="3240" w:hanging="360"/>
      </w:pPr>
    </w:lvl>
    <w:lvl w:ilvl="8" w:tentative="0">
      <w:start w:val="1"/>
      <w:numFmt w:val="decimal"/>
      <w:pStyle w:val="45"/>
      <w:lvlText w:val="%9."/>
      <w:lvlJc w:val="left"/>
      <w:pPr>
        <w:tabs>
          <w:tab w:val="left" w:pos="3600"/>
        </w:tabs>
        <w:ind w:left="36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hdrShapeDefaults>
    <o:shapelayout v:ext="edit">
      <o:idmap v:ext="edit" data="3,4"/>
    </o:shapelayout>
  </w:hdrShapeDefaults>
  <w:compat>
    <w:doNotExpandShiftReturn/>
    <w:useFELayout/>
    <w:compatSetting w:name="compatibilityMode" w:uri="http://schemas.microsoft.com/office/word" w:val="12"/>
  </w:compat>
  <w:rsids>
    <w:rsidRoot w:val="006D3A75"/>
    <w:rsid w:val="00003148"/>
    <w:rsid w:val="000041B5"/>
    <w:rsid w:val="000052CA"/>
    <w:rsid w:val="00007FC7"/>
    <w:rsid w:val="00012094"/>
    <w:rsid w:val="0001246A"/>
    <w:rsid w:val="000202B2"/>
    <w:rsid w:val="000204D2"/>
    <w:rsid w:val="00023852"/>
    <w:rsid w:val="00024B62"/>
    <w:rsid w:val="00025549"/>
    <w:rsid w:val="00043E53"/>
    <w:rsid w:val="000470BC"/>
    <w:rsid w:val="000475DC"/>
    <w:rsid w:val="000476BB"/>
    <w:rsid w:val="00052BBE"/>
    <w:rsid w:val="000534C5"/>
    <w:rsid w:val="00060D6F"/>
    <w:rsid w:val="00065705"/>
    <w:rsid w:val="000752FA"/>
    <w:rsid w:val="00077450"/>
    <w:rsid w:val="000829AD"/>
    <w:rsid w:val="00083441"/>
    <w:rsid w:val="0008435F"/>
    <w:rsid w:val="000B0C62"/>
    <w:rsid w:val="000B6E5A"/>
    <w:rsid w:val="000B77BD"/>
    <w:rsid w:val="000C067D"/>
    <w:rsid w:val="000C07EC"/>
    <w:rsid w:val="000C3A53"/>
    <w:rsid w:val="000C6686"/>
    <w:rsid w:val="000E690D"/>
    <w:rsid w:val="00104C98"/>
    <w:rsid w:val="00107FE7"/>
    <w:rsid w:val="0012328C"/>
    <w:rsid w:val="00134EAF"/>
    <w:rsid w:val="00135FA8"/>
    <w:rsid w:val="0014011E"/>
    <w:rsid w:val="00146C81"/>
    <w:rsid w:val="0014714A"/>
    <w:rsid w:val="001479EE"/>
    <w:rsid w:val="00150F6D"/>
    <w:rsid w:val="00155CE6"/>
    <w:rsid w:val="00156803"/>
    <w:rsid w:val="0016445C"/>
    <w:rsid w:val="00165FAD"/>
    <w:rsid w:val="00171FED"/>
    <w:rsid w:val="001732F4"/>
    <w:rsid w:val="00173A1A"/>
    <w:rsid w:val="00173A8D"/>
    <w:rsid w:val="001762D5"/>
    <w:rsid w:val="001837E6"/>
    <w:rsid w:val="00184812"/>
    <w:rsid w:val="00186B68"/>
    <w:rsid w:val="00194CA1"/>
    <w:rsid w:val="00195453"/>
    <w:rsid w:val="00196535"/>
    <w:rsid w:val="001A069A"/>
    <w:rsid w:val="001A1978"/>
    <w:rsid w:val="001A1D29"/>
    <w:rsid w:val="001A251B"/>
    <w:rsid w:val="001A26BB"/>
    <w:rsid w:val="001B578A"/>
    <w:rsid w:val="001B62D3"/>
    <w:rsid w:val="001B6D82"/>
    <w:rsid w:val="001C3EB9"/>
    <w:rsid w:val="001D0F69"/>
    <w:rsid w:val="001D4A84"/>
    <w:rsid w:val="001D71EA"/>
    <w:rsid w:val="001D73C8"/>
    <w:rsid w:val="001E5156"/>
    <w:rsid w:val="001E5599"/>
    <w:rsid w:val="001F21CC"/>
    <w:rsid w:val="002011D8"/>
    <w:rsid w:val="00204E0F"/>
    <w:rsid w:val="002058DD"/>
    <w:rsid w:val="00213D1D"/>
    <w:rsid w:val="002144A8"/>
    <w:rsid w:val="00217EC5"/>
    <w:rsid w:val="00222E81"/>
    <w:rsid w:val="00223AC1"/>
    <w:rsid w:val="00226D45"/>
    <w:rsid w:val="002349EB"/>
    <w:rsid w:val="002403AC"/>
    <w:rsid w:val="00241466"/>
    <w:rsid w:val="00241F4F"/>
    <w:rsid w:val="00250E53"/>
    <w:rsid w:val="00253157"/>
    <w:rsid w:val="002542B8"/>
    <w:rsid w:val="0026045C"/>
    <w:rsid w:val="00270B35"/>
    <w:rsid w:val="00275F5D"/>
    <w:rsid w:val="002836DB"/>
    <w:rsid w:val="00283DC0"/>
    <w:rsid w:val="0029490C"/>
    <w:rsid w:val="002952CE"/>
    <w:rsid w:val="002A0309"/>
    <w:rsid w:val="002A3823"/>
    <w:rsid w:val="002A715B"/>
    <w:rsid w:val="002A7535"/>
    <w:rsid w:val="002B6087"/>
    <w:rsid w:val="002B6229"/>
    <w:rsid w:val="002B7247"/>
    <w:rsid w:val="002B7B1F"/>
    <w:rsid w:val="002C0BA7"/>
    <w:rsid w:val="002C1E39"/>
    <w:rsid w:val="002C3EED"/>
    <w:rsid w:val="002C4AF6"/>
    <w:rsid w:val="002D2871"/>
    <w:rsid w:val="002D3FD0"/>
    <w:rsid w:val="002D7CBF"/>
    <w:rsid w:val="002E0090"/>
    <w:rsid w:val="002E1C2D"/>
    <w:rsid w:val="002E2FD2"/>
    <w:rsid w:val="002E3CFF"/>
    <w:rsid w:val="002F00F1"/>
    <w:rsid w:val="002F41A5"/>
    <w:rsid w:val="002F56C0"/>
    <w:rsid w:val="00302D10"/>
    <w:rsid w:val="00305421"/>
    <w:rsid w:val="00310FC8"/>
    <w:rsid w:val="003110F3"/>
    <w:rsid w:val="00312ADD"/>
    <w:rsid w:val="00327A04"/>
    <w:rsid w:val="00331CB8"/>
    <w:rsid w:val="003328F9"/>
    <w:rsid w:val="0033647F"/>
    <w:rsid w:val="00342571"/>
    <w:rsid w:val="00344325"/>
    <w:rsid w:val="0035401B"/>
    <w:rsid w:val="00356171"/>
    <w:rsid w:val="003575D6"/>
    <w:rsid w:val="00357803"/>
    <w:rsid w:val="003619FD"/>
    <w:rsid w:val="0036427B"/>
    <w:rsid w:val="0036592E"/>
    <w:rsid w:val="0036662A"/>
    <w:rsid w:val="0037181D"/>
    <w:rsid w:val="00380D62"/>
    <w:rsid w:val="0039025D"/>
    <w:rsid w:val="00390282"/>
    <w:rsid w:val="00394264"/>
    <w:rsid w:val="00395ED5"/>
    <w:rsid w:val="003A32EA"/>
    <w:rsid w:val="003A792A"/>
    <w:rsid w:val="003B1D5D"/>
    <w:rsid w:val="003B2449"/>
    <w:rsid w:val="003B4845"/>
    <w:rsid w:val="003D0CA6"/>
    <w:rsid w:val="003D27F4"/>
    <w:rsid w:val="003D732F"/>
    <w:rsid w:val="003E030A"/>
    <w:rsid w:val="003E3A16"/>
    <w:rsid w:val="003E3E6B"/>
    <w:rsid w:val="003E6694"/>
    <w:rsid w:val="003F25AF"/>
    <w:rsid w:val="003F47D3"/>
    <w:rsid w:val="003F56FE"/>
    <w:rsid w:val="00400B83"/>
    <w:rsid w:val="00405569"/>
    <w:rsid w:val="004063ED"/>
    <w:rsid w:val="00406736"/>
    <w:rsid w:val="0041098E"/>
    <w:rsid w:val="004172A2"/>
    <w:rsid w:val="00420838"/>
    <w:rsid w:val="00422E54"/>
    <w:rsid w:val="0042621E"/>
    <w:rsid w:val="004264F3"/>
    <w:rsid w:val="00430E29"/>
    <w:rsid w:val="00430F9C"/>
    <w:rsid w:val="00431F21"/>
    <w:rsid w:val="00434994"/>
    <w:rsid w:val="00440CCB"/>
    <w:rsid w:val="004427A1"/>
    <w:rsid w:val="00442C17"/>
    <w:rsid w:val="00445435"/>
    <w:rsid w:val="00450F6C"/>
    <w:rsid w:val="00450F8B"/>
    <w:rsid w:val="00451CDD"/>
    <w:rsid w:val="0045281F"/>
    <w:rsid w:val="0046673C"/>
    <w:rsid w:val="00466B94"/>
    <w:rsid w:val="00472565"/>
    <w:rsid w:val="004851E3"/>
    <w:rsid w:val="00491718"/>
    <w:rsid w:val="00495E3B"/>
    <w:rsid w:val="004962DB"/>
    <w:rsid w:val="00496648"/>
    <w:rsid w:val="00496D4A"/>
    <w:rsid w:val="004A1121"/>
    <w:rsid w:val="004A2D88"/>
    <w:rsid w:val="004A44FC"/>
    <w:rsid w:val="004B09AF"/>
    <w:rsid w:val="004B42D4"/>
    <w:rsid w:val="004C0CAF"/>
    <w:rsid w:val="004C3AD1"/>
    <w:rsid w:val="004C4478"/>
    <w:rsid w:val="004C51B7"/>
    <w:rsid w:val="004D0F9A"/>
    <w:rsid w:val="004D391D"/>
    <w:rsid w:val="004D670A"/>
    <w:rsid w:val="004E0C56"/>
    <w:rsid w:val="004E62B0"/>
    <w:rsid w:val="004E712E"/>
    <w:rsid w:val="004F464E"/>
    <w:rsid w:val="005069C5"/>
    <w:rsid w:val="00514516"/>
    <w:rsid w:val="005158BF"/>
    <w:rsid w:val="00520DE8"/>
    <w:rsid w:val="00521E80"/>
    <w:rsid w:val="00522D90"/>
    <w:rsid w:val="005246E8"/>
    <w:rsid w:val="0053051E"/>
    <w:rsid w:val="0053079A"/>
    <w:rsid w:val="005354C2"/>
    <w:rsid w:val="00540411"/>
    <w:rsid w:val="00543871"/>
    <w:rsid w:val="00545D02"/>
    <w:rsid w:val="00546A9C"/>
    <w:rsid w:val="0055080D"/>
    <w:rsid w:val="0055246B"/>
    <w:rsid w:val="00552AF8"/>
    <w:rsid w:val="00562977"/>
    <w:rsid w:val="005632AB"/>
    <w:rsid w:val="005647DB"/>
    <w:rsid w:val="00567379"/>
    <w:rsid w:val="00570B83"/>
    <w:rsid w:val="00575940"/>
    <w:rsid w:val="00581050"/>
    <w:rsid w:val="00581B2E"/>
    <w:rsid w:val="00586BD6"/>
    <w:rsid w:val="00587D4F"/>
    <w:rsid w:val="00595021"/>
    <w:rsid w:val="005A2853"/>
    <w:rsid w:val="005B0310"/>
    <w:rsid w:val="005C5444"/>
    <w:rsid w:val="005C766E"/>
    <w:rsid w:val="005C7934"/>
    <w:rsid w:val="005E2CA6"/>
    <w:rsid w:val="005E4C2E"/>
    <w:rsid w:val="005F1387"/>
    <w:rsid w:val="005F2D5F"/>
    <w:rsid w:val="005F487C"/>
    <w:rsid w:val="005F7715"/>
    <w:rsid w:val="00607BE0"/>
    <w:rsid w:val="00610E15"/>
    <w:rsid w:val="00615960"/>
    <w:rsid w:val="00617D5E"/>
    <w:rsid w:val="00633276"/>
    <w:rsid w:val="00641521"/>
    <w:rsid w:val="006446BF"/>
    <w:rsid w:val="00647A24"/>
    <w:rsid w:val="00652344"/>
    <w:rsid w:val="00661E4A"/>
    <w:rsid w:val="00661EF5"/>
    <w:rsid w:val="0066604B"/>
    <w:rsid w:val="0067311F"/>
    <w:rsid w:val="006738D1"/>
    <w:rsid w:val="00681DC3"/>
    <w:rsid w:val="00686D9F"/>
    <w:rsid w:val="0068797A"/>
    <w:rsid w:val="00695DFE"/>
    <w:rsid w:val="006972EA"/>
    <w:rsid w:val="006A2EA8"/>
    <w:rsid w:val="006B0941"/>
    <w:rsid w:val="006B289C"/>
    <w:rsid w:val="006B7113"/>
    <w:rsid w:val="006C035E"/>
    <w:rsid w:val="006C3174"/>
    <w:rsid w:val="006C45ED"/>
    <w:rsid w:val="006C6234"/>
    <w:rsid w:val="006D0755"/>
    <w:rsid w:val="006D18AD"/>
    <w:rsid w:val="006D3A75"/>
    <w:rsid w:val="006D60D8"/>
    <w:rsid w:val="006E58C6"/>
    <w:rsid w:val="006F16F6"/>
    <w:rsid w:val="006F62B8"/>
    <w:rsid w:val="006F70CD"/>
    <w:rsid w:val="0070208F"/>
    <w:rsid w:val="00706952"/>
    <w:rsid w:val="007207D4"/>
    <w:rsid w:val="007216A8"/>
    <w:rsid w:val="00725400"/>
    <w:rsid w:val="007259A7"/>
    <w:rsid w:val="007275B5"/>
    <w:rsid w:val="00736981"/>
    <w:rsid w:val="007376AA"/>
    <w:rsid w:val="00740505"/>
    <w:rsid w:val="0074071C"/>
    <w:rsid w:val="00742468"/>
    <w:rsid w:val="00742597"/>
    <w:rsid w:val="007427BE"/>
    <w:rsid w:val="00745ECE"/>
    <w:rsid w:val="00753246"/>
    <w:rsid w:val="00764F78"/>
    <w:rsid w:val="0076666B"/>
    <w:rsid w:val="00767789"/>
    <w:rsid w:val="0077557D"/>
    <w:rsid w:val="007762AF"/>
    <w:rsid w:val="007802D5"/>
    <w:rsid w:val="00780A0E"/>
    <w:rsid w:val="0078169F"/>
    <w:rsid w:val="00792D9C"/>
    <w:rsid w:val="007B2533"/>
    <w:rsid w:val="007B28B7"/>
    <w:rsid w:val="007C356B"/>
    <w:rsid w:val="007C5566"/>
    <w:rsid w:val="007C63E0"/>
    <w:rsid w:val="007D13CD"/>
    <w:rsid w:val="007D1F4F"/>
    <w:rsid w:val="007D4862"/>
    <w:rsid w:val="007E0B4A"/>
    <w:rsid w:val="007E54F5"/>
    <w:rsid w:val="007E556B"/>
    <w:rsid w:val="007F2566"/>
    <w:rsid w:val="007F5983"/>
    <w:rsid w:val="0080664E"/>
    <w:rsid w:val="008153EF"/>
    <w:rsid w:val="0082502D"/>
    <w:rsid w:val="0083056C"/>
    <w:rsid w:val="008337C2"/>
    <w:rsid w:val="008374A7"/>
    <w:rsid w:val="00837F56"/>
    <w:rsid w:val="00847BCE"/>
    <w:rsid w:val="00847E1F"/>
    <w:rsid w:val="0085133B"/>
    <w:rsid w:val="008522D6"/>
    <w:rsid w:val="00852A8F"/>
    <w:rsid w:val="00852EB7"/>
    <w:rsid w:val="0085483B"/>
    <w:rsid w:val="008554B7"/>
    <w:rsid w:val="00860DF7"/>
    <w:rsid w:val="00866475"/>
    <w:rsid w:val="00874355"/>
    <w:rsid w:val="00874735"/>
    <w:rsid w:val="00880BF4"/>
    <w:rsid w:val="00893BD2"/>
    <w:rsid w:val="008A1E28"/>
    <w:rsid w:val="008A673B"/>
    <w:rsid w:val="008A7225"/>
    <w:rsid w:val="008B03B7"/>
    <w:rsid w:val="008B0741"/>
    <w:rsid w:val="008B3FFA"/>
    <w:rsid w:val="008B548A"/>
    <w:rsid w:val="008B630A"/>
    <w:rsid w:val="008B7785"/>
    <w:rsid w:val="008C10CB"/>
    <w:rsid w:val="008C4DFE"/>
    <w:rsid w:val="008C4EB3"/>
    <w:rsid w:val="008C6283"/>
    <w:rsid w:val="008D0542"/>
    <w:rsid w:val="008E716D"/>
    <w:rsid w:val="008E7CBF"/>
    <w:rsid w:val="008F0561"/>
    <w:rsid w:val="008F7179"/>
    <w:rsid w:val="009046F6"/>
    <w:rsid w:val="009101D0"/>
    <w:rsid w:val="009122F7"/>
    <w:rsid w:val="00912A22"/>
    <w:rsid w:val="00913D5E"/>
    <w:rsid w:val="00914F6D"/>
    <w:rsid w:val="00915300"/>
    <w:rsid w:val="009161BE"/>
    <w:rsid w:val="00932504"/>
    <w:rsid w:val="00934575"/>
    <w:rsid w:val="009372AC"/>
    <w:rsid w:val="00943B0D"/>
    <w:rsid w:val="0094457F"/>
    <w:rsid w:val="00950676"/>
    <w:rsid w:val="009564CF"/>
    <w:rsid w:val="0095655D"/>
    <w:rsid w:val="00965B46"/>
    <w:rsid w:val="0096748B"/>
    <w:rsid w:val="009713AA"/>
    <w:rsid w:val="00980919"/>
    <w:rsid w:val="00982244"/>
    <w:rsid w:val="00985818"/>
    <w:rsid w:val="00993FFA"/>
    <w:rsid w:val="00996311"/>
    <w:rsid w:val="00996D2C"/>
    <w:rsid w:val="009A3424"/>
    <w:rsid w:val="009A4F5A"/>
    <w:rsid w:val="009B1D88"/>
    <w:rsid w:val="009B6DD2"/>
    <w:rsid w:val="009C6109"/>
    <w:rsid w:val="009C637B"/>
    <w:rsid w:val="009D2D4B"/>
    <w:rsid w:val="009D3D3D"/>
    <w:rsid w:val="009D3DAC"/>
    <w:rsid w:val="009D4644"/>
    <w:rsid w:val="009D5E1D"/>
    <w:rsid w:val="009D7DA1"/>
    <w:rsid w:val="009E411E"/>
    <w:rsid w:val="009F1086"/>
    <w:rsid w:val="009F12A2"/>
    <w:rsid w:val="00A030E5"/>
    <w:rsid w:val="00A07363"/>
    <w:rsid w:val="00A134CF"/>
    <w:rsid w:val="00A15639"/>
    <w:rsid w:val="00A30616"/>
    <w:rsid w:val="00A31B84"/>
    <w:rsid w:val="00A329CC"/>
    <w:rsid w:val="00A369C7"/>
    <w:rsid w:val="00A40A7B"/>
    <w:rsid w:val="00A45EE8"/>
    <w:rsid w:val="00A5572E"/>
    <w:rsid w:val="00A56407"/>
    <w:rsid w:val="00A711EC"/>
    <w:rsid w:val="00A75E3D"/>
    <w:rsid w:val="00A76C42"/>
    <w:rsid w:val="00A76EC0"/>
    <w:rsid w:val="00A76FA9"/>
    <w:rsid w:val="00A77AE2"/>
    <w:rsid w:val="00A77E87"/>
    <w:rsid w:val="00A8114E"/>
    <w:rsid w:val="00A81403"/>
    <w:rsid w:val="00A83EA6"/>
    <w:rsid w:val="00A84315"/>
    <w:rsid w:val="00A84B87"/>
    <w:rsid w:val="00A85B46"/>
    <w:rsid w:val="00A85BE7"/>
    <w:rsid w:val="00A86B65"/>
    <w:rsid w:val="00A87332"/>
    <w:rsid w:val="00A87409"/>
    <w:rsid w:val="00A87EBF"/>
    <w:rsid w:val="00A9171A"/>
    <w:rsid w:val="00A95E50"/>
    <w:rsid w:val="00A97E2E"/>
    <w:rsid w:val="00AA409A"/>
    <w:rsid w:val="00AA5059"/>
    <w:rsid w:val="00AA5B84"/>
    <w:rsid w:val="00AA711E"/>
    <w:rsid w:val="00AB53CA"/>
    <w:rsid w:val="00AB5FEC"/>
    <w:rsid w:val="00AB6BF5"/>
    <w:rsid w:val="00AC0365"/>
    <w:rsid w:val="00AC1081"/>
    <w:rsid w:val="00AC1869"/>
    <w:rsid w:val="00AC71EF"/>
    <w:rsid w:val="00AD0744"/>
    <w:rsid w:val="00AD2107"/>
    <w:rsid w:val="00AD746A"/>
    <w:rsid w:val="00AE112D"/>
    <w:rsid w:val="00AE3E35"/>
    <w:rsid w:val="00AE6ADD"/>
    <w:rsid w:val="00AE7482"/>
    <w:rsid w:val="00B026C2"/>
    <w:rsid w:val="00B04ED8"/>
    <w:rsid w:val="00B076C1"/>
    <w:rsid w:val="00B0779F"/>
    <w:rsid w:val="00B10013"/>
    <w:rsid w:val="00B168ED"/>
    <w:rsid w:val="00B16D84"/>
    <w:rsid w:val="00B2053B"/>
    <w:rsid w:val="00B22DFC"/>
    <w:rsid w:val="00B2403E"/>
    <w:rsid w:val="00B2481C"/>
    <w:rsid w:val="00B2502D"/>
    <w:rsid w:val="00B26414"/>
    <w:rsid w:val="00B26BD3"/>
    <w:rsid w:val="00B311CD"/>
    <w:rsid w:val="00B3326D"/>
    <w:rsid w:val="00B40163"/>
    <w:rsid w:val="00B41230"/>
    <w:rsid w:val="00B53299"/>
    <w:rsid w:val="00B54DE3"/>
    <w:rsid w:val="00B66C78"/>
    <w:rsid w:val="00B74D17"/>
    <w:rsid w:val="00B76DDD"/>
    <w:rsid w:val="00B80D8E"/>
    <w:rsid w:val="00B93E2D"/>
    <w:rsid w:val="00B95C86"/>
    <w:rsid w:val="00B9722C"/>
    <w:rsid w:val="00BA3819"/>
    <w:rsid w:val="00BA616D"/>
    <w:rsid w:val="00BA790D"/>
    <w:rsid w:val="00BB14BD"/>
    <w:rsid w:val="00BC4E53"/>
    <w:rsid w:val="00BD502E"/>
    <w:rsid w:val="00BD5C96"/>
    <w:rsid w:val="00BE19D1"/>
    <w:rsid w:val="00BE2514"/>
    <w:rsid w:val="00BF0CE1"/>
    <w:rsid w:val="00BF5C75"/>
    <w:rsid w:val="00C02D10"/>
    <w:rsid w:val="00C04A9A"/>
    <w:rsid w:val="00C0709C"/>
    <w:rsid w:val="00C07C0E"/>
    <w:rsid w:val="00C11B6B"/>
    <w:rsid w:val="00C16817"/>
    <w:rsid w:val="00C22912"/>
    <w:rsid w:val="00C26C90"/>
    <w:rsid w:val="00C308C7"/>
    <w:rsid w:val="00C310A5"/>
    <w:rsid w:val="00C33FA7"/>
    <w:rsid w:val="00C36D10"/>
    <w:rsid w:val="00C36D25"/>
    <w:rsid w:val="00C43BE5"/>
    <w:rsid w:val="00C45DB9"/>
    <w:rsid w:val="00C468F7"/>
    <w:rsid w:val="00C54663"/>
    <w:rsid w:val="00C57FDF"/>
    <w:rsid w:val="00C61EC9"/>
    <w:rsid w:val="00C64340"/>
    <w:rsid w:val="00C66413"/>
    <w:rsid w:val="00C66D16"/>
    <w:rsid w:val="00C66E03"/>
    <w:rsid w:val="00C73834"/>
    <w:rsid w:val="00C828BB"/>
    <w:rsid w:val="00C90D71"/>
    <w:rsid w:val="00C92EB0"/>
    <w:rsid w:val="00C944FA"/>
    <w:rsid w:val="00C95789"/>
    <w:rsid w:val="00CB5B56"/>
    <w:rsid w:val="00CB6BE1"/>
    <w:rsid w:val="00CC2C5B"/>
    <w:rsid w:val="00CC2FBC"/>
    <w:rsid w:val="00CC348F"/>
    <w:rsid w:val="00CC4A54"/>
    <w:rsid w:val="00CD4431"/>
    <w:rsid w:val="00CD6E3A"/>
    <w:rsid w:val="00CE310E"/>
    <w:rsid w:val="00CE33F2"/>
    <w:rsid w:val="00CE6FB5"/>
    <w:rsid w:val="00CF6956"/>
    <w:rsid w:val="00D00B33"/>
    <w:rsid w:val="00D04A9A"/>
    <w:rsid w:val="00D06D73"/>
    <w:rsid w:val="00D12FF1"/>
    <w:rsid w:val="00D14881"/>
    <w:rsid w:val="00D149DF"/>
    <w:rsid w:val="00D1656A"/>
    <w:rsid w:val="00D17A23"/>
    <w:rsid w:val="00D261EE"/>
    <w:rsid w:val="00D3305B"/>
    <w:rsid w:val="00D34158"/>
    <w:rsid w:val="00D343C4"/>
    <w:rsid w:val="00D36AFB"/>
    <w:rsid w:val="00D37797"/>
    <w:rsid w:val="00D433E1"/>
    <w:rsid w:val="00D45CE6"/>
    <w:rsid w:val="00D53924"/>
    <w:rsid w:val="00D56752"/>
    <w:rsid w:val="00D604A1"/>
    <w:rsid w:val="00D605EB"/>
    <w:rsid w:val="00D850C5"/>
    <w:rsid w:val="00D86EA0"/>
    <w:rsid w:val="00D95346"/>
    <w:rsid w:val="00DA0C5F"/>
    <w:rsid w:val="00DA481C"/>
    <w:rsid w:val="00DA7A10"/>
    <w:rsid w:val="00DB0C6B"/>
    <w:rsid w:val="00DB17D1"/>
    <w:rsid w:val="00DB2E1B"/>
    <w:rsid w:val="00DC0369"/>
    <w:rsid w:val="00DC0799"/>
    <w:rsid w:val="00DC4881"/>
    <w:rsid w:val="00DD12E7"/>
    <w:rsid w:val="00DD3DD2"/>
    <w:rsid w:val="00DE2702"/>
    <w:rsid w:val="00E00DB9"/>
    <w:rsid w:val="00E02C8C"/>
    <w:rsid w:val="00E05232"/>
    <w:rsid w:val="00E071F5"/>
    <w:rsid w:val="00E0740E"/>
    <w:rsid w:val="00E1218E"/>
    <w:rsid w:val="00E204B4"/>
    <w:rsid w:val="00E33701"/>
    <w:rsid w:val="00E35B1D"/>
    <w:rsid w:val="00E37030"/>
    <w:rsid w:val="00E400AA"/>
    <w:rsid w:val="00E43206"/>
    <w:rsid w:val="00E44157"/>
    <w:rsid w:val="00E46E2A"/>
    <w:rsid w:val="00E62E04"/>
    <w:rsid w:val="00E66248"/>
    <w:rsid w:val="00E723D5"/>
    <w:rsid w:val="00E73979"/>
    <w:rsid w:val="00E73C76"/>
    <w:rsid w:val="00E76B7E"/>
    <w:rsid w:val="00E774DC"/>
    <w:rsid w:val="00E924D5"/>
    <w:rsid w:val="00E9519E"/>
    <w:rsid w:val="00EA1451"/>
    <w:rsid w:val="00EA2602"/>
    <w:rsid w:val="00EA37CA"/>
    <w:rsid w:val="00EA3A5D"/>
    <w:rsid w:val="00EA4013"/>
    <w:rsid w:val="00EA7231"/>
    <w:rsid w:val="00EB3F10"/>
    <w:rsid w:val="00EB5628"/>
    <w:rsid w:val="00EC181F"/>
    <w:rsid w:val="00EC578D"/>
    <w:rsid w:val="00EC5DD3"/>
    <w:rsid w:val="00EC68C0"/>
    <w:rsid w:val="00EE02BD"/>
    <w:rsid w:val="00EE404D"/>
    <w:rsid w:val="00EE48F1"/>
    <w:rsid w:val="00EF2FF5"/>
    <w:rsid w:val="00EF414A"/>
    <w:rsid w:val="00F01F37"/>
    <w:rsid w:val="00F067B5"/>
    <w:rsid w:val="00F06815"/>
    <w:rsid w:val="00F07595"/>
    <w:rsid w:val="00F11A25"/>
    <w:rsid w:val="00F1661E"/>
    <w:rsid w:val="00F2132F"/>
    <w:rsid w:val="00F21A8C"/>
    <w:rsid w:val="00F349D3"/>
    <w:rsid w:val="00F41482"/>
    <w:rsid w:val="00F4305E"/>
    <w:rsid w:val="00F52601"/>
    <w:rsid w:val="00F55082"/>
    <w:rsid w:val="00F55AF3"/>
    <w:rsid w:val="00F5692F"/>
    <w:rsid w:val="00F578F2"/>
    <w:rsid w:val="00F61A9F"/>
    <w:rsid w:val="00F652B3"/>
    <w:rsid w:val="00F718CA"/>
    <w:rsid w:val="00F762F8"/>
    <w:rsid w:val="00F81C80"/>
    <w:rsid w:val="00F820C3"/>
    <w:rsid w:val="00F82721"/>
    <w:rsid w:val="00F8421E"/>
    <w:rsid w:val="00F843FA"/>
    <w:rsid w:val="00F91F47"/>
    <w:rsid w:val="00F92F60"/>
    <w:rsid w:val="00F94262"/>
    <w:rsid w:val="00F945A7"/>
    <w:rsid w:val="00F9482B"/>
    <w:rsid w:val="00FA1DBE"/>
    <w:rsid w:val="00FA697A"/>
    <w:rsid w:val="00FB11A9"/>
    <w:rsid w:val="00FB485A"/>
    <w:rsid w:val="00FB4E1B"/>
    <w:rsid w:val="00FB5A42"/>
    <w:rsid w:val="00FB668F"/>
    <w:rsid w:val="00FC787A"/>
    <w:rsid w:val="00FD0B57"/>
    <w:rsid w:val="00FD16FC"/>
    <w:rsid w:val="00FD29BB"/>
    <w:rsid w:val="00FE1689"/>
    <w:rsid w:val="00FE1BEE"/>
    <w:rsid w:val="00FE2C06"/>
    <w:rsid w:val="00FE3553"/>
    <w:rsid w:val="00FF135C"/>
    <w:rsid w:val="00FF15ED"/>
    <w:rsid w:val="00FF60F5"/>
    <w:rsid w:val="00FF61F4"/>
    <w:rsid w:val="053A02C0"/>
    <w:rsid w:val="06145541"/>
    <w:rsid w:val="07576617"/>
    <w:rsid w:val="09E669D9"/>
    <w:rsid w:val="0EBD7E7E"/>
    <w:rsid w:val="10095311"/>
    <w:rsid w:val="11491602"/>
    <w:rsid w:val="11FA1425"/>
    <w:rsid w:val="1E312DBC"/>
    <w:rsid w:val="23581A37"/>
    <w:rsid w:val="23F852A4"/>
    <w:rsid w:val="24AC69EB"/>
    <w:rsid w:val="26D50A93"/>
    <w:rsid w:val="29063FEE"/>
    <w:rsid w:val="29882164"/>
    <w:rsid w:val="2B1209B6"/>
    <w:rsid w:val="30A640A6"/>
    <w:rsid w:val="31245E12"/>
    <w:rsid w:val="34A21AFD"/>
    <w:rsid w:val="35940F8E"/>
    <w:rsid w:val="36A21135"/>
    <w:rsid w:val="380B180B"/>
    <w:rsid w:val="3C135542"/>
    <w:rsid w:val="3CF50A9C"/>
    <w:rsid w:val="3FEF0FAC"/>
    <w:rsid w:val="46F17132"/>
    <w:rsid w:val="4B052C22"/>
    <w:rsid w:val="4E8D0FAF"/>
    <w:rsid w:val="5D192031"/>
    <w:rsid w:val="604E1A39"/>
    <w:rsid w:val="6F843036"/>
    <w:rsid w:val="7CD11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SimSun" w:cs="Times New Roman"/>
      <w:kern w:val="2"/>
      <w:sz w:val="21"/>
      <w:szCs w:val="24"/>
      <w:lang w:val="en-US" w:eastAsia="zh-CN" w:bidi="ar-SA"/>
    </w:rPr>
  </w:style>
  <w:style w:type="paragraph" w:styleId="2">
    <w:name w:val="heading 1"/>
    <w:basedOn w:val="1"/>
    <w:next w:val="1"/>
    <w:link w:val="398"/>
    <w:qFormat/>
    <w:uiPriority w:val="0"/>
    <w:pPr>
      <w:keepNext/>
      <w:outlineLvl w:val="0"/>
    </w:pPr>
    <w:rPr>
      <w:rFonts w:eastAsia="宋体"/>
      <w:b/>
      <w:snapToGrid w:val="0"/>
      <w:sz w:val="22"/>
      <w:szCs w:val="20"/>
    </w:rPr>
  </w:style>
  <w:style w:type="paragraph" w:styleId="3">
    <w:name w:val="heading 3"/>
    <w:basedOn w:val="1"/>
    <w:next w:val="1"/>
    <w:link w:val="399"/>
    <w:qFormat/>
    <w:uiPriority w:val="0"/>
    <w:pPr>
      <w:keepNext/>
      <w:keepLines/>
      <w:spacing w:before="260" w:after="260" w:line="416" w:lineRule="auto"/>
      <w:outlineLvl w:val="2"/>
    </w:pPr>
    <w:rPr>
      <w:rFonts w:eastAsia="宋体"/>
      <w:b/>
      <w:bCs/>
      <w:sz w:val="32"/>
      <w:szCs w:val="32"/>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caption"/>
    <w:basedOn w:val="1"/>
    <w:next w:val="1"/>
    <w:qFormat/>
    <w:uiPriority w:val="0"/>
    <w:pPr>
      <w:widowControl/>
      <w:spacing w:before="152" w:after="160"/>
      <w:jc w:val="left"/>
    </w:pPr>
    <w:rPr>
      <w:rFonts w:ascii="Arial" w:hAnsi="Arial" w:eastAsia="黑体;SimHei" w:cs="Arial"/>
      <w:kern w:val="0"/>
      <w:sz w:val="20"/>
      <w:szCs w:val="20"/>
    </w:rPr>
  </w:style>
  <w:style w:type="paragraph" w:styleId="6">
    <w:name w:val="Document Map"/>
    <w:basedOn w:val="1"/>
    <w:link w:val="401"/>
    <w:qFormat/>
    <w:uiPriority w:val="0"/>
    <w:pPr>
      <w:shd w:val="clear" w:color="auto" w:fill="000080"/>
    </w:pPr>
    <w:rPr>
      <w:rFonts w:eastAsia="宋体"/>
      <w:snapToGrid w:val="0"/>
      <w:sz w:val="22"/>
      <w:szCs w:val="20"/>
    </w:rPr>
  </w:style>
  <w:style w:type="paragraph" w:styleId="7">
    <w:name w:val="annotation text"/>
    <w:basedOn w:val="1"/>
    <w:qFormat/>
    <w:uiPriority w:val="0"/>
    <w:pPr>
      <w:jc w:val="left"/>
    </w:pPr>
  </w:style>
  <w:style w:type="paragraph" w:styleId="8">
    <w:name w:val="Salutation"/>
    <w:basedOn w:val="1"/>
    <w:next w:val="1"/>
    <w:qFormat/>
    <w:uiPriority w:val="0"/>
    <w:rPr>
      <w:kern w:val="0"/>
      <w:szCs w:val="20"/>
    </w:rPr>
  </w:style>
  <w:style w:type="paragraph" w:styleId="9">
    <w:name w:val="Body Text 3"/>
    <w:basedOn w:val="1"/>
    <w:qFormat/>
    <w:uiPriority w:val="0"/>
    <w:pPr>
      <w:spacing w:after="120"/>
    </w:pPr>
    <w:rPr>
      <w:sz w:val="16"/>
      <w:szCs w:val="16"/>
    </w:rPr>
  </w:style>
  <w:style w:type="paragraph" w:styleId="10">
    <w:name w:val="Closing"/>
    <w:basedOn w:val="1"/>
    <w:next w:val="1"/>
    <w:qFormat/>
    <w:uiPriority w:val="0"/>
    <w:pPr>
      <w:ind w:left="4320"/>
    </w:pPr>
    <w:rPr>
      <w:sz w:val="30"/>
      <w:szCs w:val="20"/>
    </w:rPr>
  </w:style>
  <w:style w:type="paragraph" w:styleId="11">
    <w:name w:val="Body Text"/>
    <w:basedOn w:val="1"/>
    <w:qFormat/>
    <w:uiPriority w:val="0"/>
    <w:pPr>
      <w:widowControl/>
      <w:spacing w:after="160"/>
      <w:jc w:val="left"/>
    </w:pPr>
    <w:rPr>
      <w:rFonts w:ascii="仿宋体;宋体" w:hAnsi="仿宋体;宋体" w:eastAsia="仿宋体;宋体"/>
      <w:kern w:val="0"/>
      <w:sz w:val="20"/>
      <w:szCs w:val="20"/>
    </w:rPr>
  </w:style>
  <w:style w:type="paragraph" w:styleId="12">
    <w:name w:val="Body Text Indent"/>
    <w:basedOn w:val="1"/>
    <w:qFormat/>
    <w:uiPriority w:val="0"/>
    <w:pPr>
      <w:widowControl/>
      <w:ind w:left="3686"/>
    </w:pPr>
    <w:rPr>
      <w:rFonts w:ascii="宋体;SimSun" w:hAnsi="宋体;SimSun" w:cs="宋体;SimSun"/>
      <w:kern w:val="0"/>
      <w:sz w:val="28"/>
      <w:szCs w:val="20"/>
    </w:rPr>
  </w:style>
  <w:style w:type="paragraph" w:styleId="13">
    <w:name w:val="Block Text"/>
    <w:basedOn w:val="1"/>
    <w:qFormat/>
    <w:uiPriority w:val="0"/>
    <w:pPr>
      <w:widowControl/>
      <w:ind w:left="720" w:right="-48" w:hanging="720"/>
    </w:pPr>
    <w:rPr>
      <w:rFonts w:eastAsia="宋体"/>
      <w:kern w:val="0"/>
      <w:sz w:val="20"/>
      <w:szCs w:val="20"/>
    </w:rPr>
  </w:style>
  <w:style w:type="paragraph" w:styleId="14">
    <w:name w:val="Plain Text"/>
    <w:basedOn w:val="1"/>
    <w:qFormat/>
    <w:uiPriority w:val="0"/>
    <w:rPr>
      <w:rFonts w:ascii="宋体;SimSun" w:hAnsi="宋体;SimSun" w:cs="Courier New"/>
      <w:szCs w:val="20"/>
    </w:rPr>
  </w:style>
  <w:style w:type="paragraph" w:styleId="15">
    <w:name w:val="Date"/>
    <w:basedOn w:val="1"/>
    <w:next w:val="1"/>
    <w:qFormat/>
    <w:uiPriority w:val="0"/>
    <w:pPr>
      <w:widowControl/>
      <w:ind w:left="100"/>
      <w:jc w:val="left"/>
    </w:pPr>
    <w:rPr>
      <w:rFonts w:ascii="宋体;SimSun" w:hAnsi="宋体;SimSun" w:cs="宋体;SimSun"/>
      <w:kern w:val="0"/>
      <w:sz w:val="28"/>
      <w:szCs w:val="20"/>
    </w:rPr>
  </w:style>
  <w:style w:type="paragraph" w:styleId="16">
    <w:name w:val="Body Text Indent 2"/>
    <w:basedOn w:val="1"/>
    <w:qFormat/>
    <w:uiPriority w:val="0"/>
    <w:pPr>
      <w:spacing w:after="120" w:line="480" w:lineRule="auto"/>
      <w:ind w:left="420"/>
    </w:pPr>
    <w:rPr>
      <w:szCs w:val="20"/>
    </w:rPr>
  </w:style>
  <w:style w:type="paragraph" w:styleId="17">
    <w:name w:val="Balloon Text"/>
    <w:basedOn w:val="1"/>
    <w:qFormat/>
    <w:uiPriority w:val="0"/>
    <w:rPr>
      <w:sz w:val="18"/>
      <w:szCs w:val="18"/>
    </w:rPr>
  </w:style>
  <w:style w:type="paragraph" w:styleId="18">
    <w:name w:val="footer"/>
    <w:basedOn w:val="1"/>
    <w:link w:val="397"/>
    <w:unhideWhenUsed/>
    <w:qFormat/>
    <w:uiPriority w:val="0"/>
    <w:pPr>
      <w:tabs>
        <w:tab w:val="center" w:pos="4153"/>
        <w:tab w:val="right" w:pos="8306"/>
      </w:tabs>
      <w:snapToGrid w:val="0"/>
      <w:jc w:val="left"/>
    </w:pPr>
    <w:rPr>
      <w:sz w:val="18"/>
      <w:szCs w:val="18"/>
    </w:rPr>
  </w:style>
  <w:style w:type="paragraph" w:styleId="19">
    <w:name w:val="header"/>
    <w:basedOn w:val="1"/>
    <w:link w:val="396"/>
    <w:unhideWhenUsed/>
    <w:qFormat/>
    <w:uiPriority w:val="0"/>
    <w:pPr>
      <w:pBdr>
        <w:bottom w:val="single" w:color="auto" w:sz="6" w:space="1"/>
      </w:pBdr>
      <w:tabs>
        <w:tab w:val="center" w:pos="4153"/>
        <w:tab w:val="right" w:pos="8306"/>
      </w:tabs>
      <w:snapToGrid w:val="0"/>
      <w:jc w:val="center"/>
    </w:pPr>
    <w:rPr>
      <w:sz w:val="18"/>
      <w:szCs w:val="18"/>
    </w:rPr>
  </w:style>
  <w:style w:type="paragraph" w:styleId="20">
    <w:name w:val="Subtitle"/>
    <w:basedOn w:val="1"/>
    <w:next w:val="11"/>
    <w:qFormat/>
    <w:uiPriority w:val="0"/>
    <w:pPr>
      <w:spacing w:after="60" w:line="360" w:lineRule="atLeast"/>
      <w:jc w:val="center"/>
      <w:textAlignment w:val="baseline"/>
    </w:pPr>
    <w:rPr>
      <w:rFonts w:ascii="Arial" w:hAnsi="Arial" w:eastAsia="黑体;SimHei" w:cs="Arial"/>
      <w:i/>
      <w:kern w:val="0"/>
      <w:sz w:val="24"/>
      <w:szCs w:val="20"/>
    </w:rPr>
  </w:style>
  <w:style w:type="paragraph" w:styleId="21">
    <w:name w:val="List"/>
    <w:basedOn w:val="11"/>
    <w:qFormat/>
    <w:uiPriority w:val="0"/>
    <w:rPr>
      <w:rFonts w:cs="DejaVu Sans"/>
    </w:rPr>
  </w:style>
  <w:style w:type="paragraph" w:styleId="22">
    <w:name w:val="footnote text"/>
    <w:basedOn w:val="1"/>
    <w:link w:val="403"/>
    <w:qFormat/>
    <w:uiPriority w:val="0"/>
    <w:pPr>
      <w:widowControl/>
      <w:jc w:val="left"/>
    </w:pPr>
    <w:rPr>
      <w:rFonts w:eastAsia="宋体"/>
      <w:kern w:val="0"/>
      <w:sz w:val="20"/>
      <w:szCs w:val="20"/>
      <w:lang w:val="de-DE"/>
    </w:rPr>
  </w:style>
  <w:style w:type="paragraph" w:styleId="23">
    <w:name w:val="Body Text Indent 3"/>
    <w:basedOn w:val="1"/>
    <w:qFormat/>
    <w:uiPriority w:val="0"/>
    <w:pPr>
      <w:spacing w:line="360" w:lineRule="auto"/>
      <w:ind w:left="960"/>
      <w:jc w:val="left"/>
      <w:textAlignment w:val="baseline"/>
    </w:pPr>
    <w:rPr>
      <w:rFonts w:eastAsia="楷体"/>
      <w:kern w:val="0"/>
      <w:sz w:val="24"/>
      <w:szCs w:val="20"/>
    </w:rPr>
  </w:style>
  <w:style w:type="paragraph" w:styleId="24">
    <w:name w:val="Body Text 2"/>
    <w:basedOn w:val="1"/>
    <w:qFormat/>
    <w:uiPriority w:val="0"/>
    <w:pPr>
      <w:widowControl/>
      <w:spacing w:line="360" w:lineRule="auto"/>
      <w:jc w:val="left"/>
    </w:pPr>
    <w:rPr>
      <w:rFonts w:ascii="楷体_GB2312" w:hAnsi="楷体_GB2312" w:eastAsia="楷体_GB2312" w:cs="Garamond"/>
      <w:color w:val="FF0000"/>
      <w:kern w:val="0"/>
      <w:sz w:val="24"/>
    </w:rPr>
  </w:style>
  <w:style w:type="paragraph" w:styleId="2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SimSun" w:hAnsi="宋体;SimSun" w:cs="宋体;SimSun"/>
      <w:color w:val="000000"/>
      <w:kern w:val="0"/>
      <w:szCs w:val="20"/>
    </w:rPr>
  </w:style>
  <w:style w:type="paragraph" w:styleId="26">
    <w:name w:val="Normal (Web)"/>
    <w:basedOn w:val="1"/>
    <w:qFormat/>
    <w:uiPriority w:val="0"/>
    <w:pPr>
      <w:widowControl/>
      <w:spacing w:before="280" w:after="280"/>
      <w:jc w:val="left"/>
    </w:pPr>
    <w:rPr>
      <w:rFonts w:ascii="宋体;SimSun" w:hAnsi="宋体;SimSun" w:cs="宋体;SimSun"/>
      <w:kern w:val="0"/>
      <w:sz w:val="24"/>
    </w:rPr>
  </w:style>
  <w:style w:type="paragraph" w:styleId="27">
    <w:name w:val="Title"/>
    <w:basedOn w:val="1"/>
    <w:link w:val="400"/>
    <w:qFormat/>
    <w:uiPriority w:val="0"/>
    <w:pPr>
      <w:widowControl/>
      <w:jc w:val="center"/>
    </w:pPr>
    <w:rPr>
      <w:rFonts w:eastAsia="宋体"/>
      <w:b/>
      <w:kern w:val="0"/>
      <w:sz w:val="24"/>
      <w:szCs w:val="20"/>
    </w:rPr>
  </w:style>
  <w:style w:type="paragraph" w:styleId="28">
    <w:name w:val="annotation subject"/>
    <w:basedOn w:val="7"/>
    <w:next w:val="7"/>
    <w:qFormat/>
    <w:uiPriority w:val="0"/>
    <w:rPr>
      <w:b/>
      <w:bCs/>
    </w:rPr>
  </w:style>
  <w:style w:type="paragraph" w:styleId="29">
    <w:name w:val="Body Text First Indent"/>
    <w:basedOn w:val="11"/>
    <w:qFormat/>
    <w:uiPriority w:val="0"/>
    <w:pPr>
      <w:spacing w:after="120"/>
      <w:ind w:firstLine="420"/>
    </w:pPr>
    <w:rPr>
      <w:rFonts w:ascii="Times New Roman" w:hAnsi="Times New Roman" w:eastAsia="宋体;SimSun"/>
      <w:kern w:val="2"/>
      <w:sz w:val="24"/>
      <w:szCs w:val="24"/>
    </w:rPr>
  </w:style>
  <w:style w:type="table" w:styleId="31">
    <w:name w:val="Table Grid"/>
    <w:basedOn w:val="3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3">
    <w:name w:val="Strong"/>
    <w:basedOn w:val="32"/>
    <w:qFormat/>
    <w:uiPriority w:val="0"/>
    <w:rPr>
      <w:b/>
      <w:bCs/>
    </w:rPr>
  </w:style>
  <w:style w:type="character" w:styleId="34">
    <w:name w:val="page number"/>
    <w:basedOn w:val="32"/>
    <w:qFormat/>
    <w:uiPriority w:val="0"/>
  </w:style>
  <w:style w:type="character" w:styleId="35">
    <w:name w:val="Hyperlink"/>
    <w:basedOn w:val="32"/>
    <w:qFormat/>
    <w:uiPriority w:val="0"/>
    <w:rPr>
      <w:color w:val="0000FF"/>
      <w:u w:val="single"/>
    </w:rPr>
  </w:style>
  <w:style w:type="character" w:styleId="36">
    <w:name w:val="annotation reference"/>
    <w:qFormat/>
    <w:uiPriority w:val="0"/>
    <w:rPr>
      <w:sz w:val="21"/>
      <w:szCs w:val="21"/>
    </w:rPr>
  </w:style>
  <w:style w:type="paragraph" w:customStyle="1" w:styleId="37">
    <w:name w:val="Heading 1"/>
    <w:basedOn w:val="1"/>
    <w:next w:val="1"/>
    <w:qFormat/>
    <w:uiPriority w:val="0"/>
    <w:pPr>
      <w:keepNext/>
      <w:keepLines/>
      <w:spacing w:before="340" w:after="330" w:line="576" w:lineRule="auto"/>
      <w:outlineLvl w:val="0"/>
    </w:pPr>
    <w:rPr>
      <w:b/>
      <w:sz w:val="44"/>
      <w:szCs w:val="20"/>
    </w:rPr>
  </w:style>
  <w:style w:type="paragraph" w:customStyle="1" w:styleId="38">
    <w:name w:val="Heading 2"/>
    <w:basedOn w:val="1"/>
    <w:next w:val="1"/>
    <w:qFormat/>
    <w:uiPriority w:val="0"/>
    <w:pPr>
      <w:keepNext/>
      <w:keepLines/>
      <w:spacing w:before="260" w:after="260" w:line="416" w:lineRule="atLeast"/>
      <w:jc w:val="center"/>
      <w:textAlignment w:val="baseline"/>
      <w:outlineLvl w:val="1"/>
    </w:pPr>
    <w:rPr>
      <w:rFonts w:ascii="Arial" w:hAnsi="Arial" w:eastAsia="黑体;SimHei" w:cs="Arial"/>
      <w:b/>
      <w:sz w:val="32"/>
      <w:szCs w:val="20"/>
    </w:rPr>
  </w:style>
  <w:style w:type="paragraph" w:customStyle="1" w:styleId="39">
    <w:name w:val="Heading 3"/>
    <w:basedOn w:val="1"/>
    <w:next w:val="1"/>
    <w:qFormat/>
    <w:uiPriority w:val="0"/>
    <w:pPr>
      <w:keepNext/>
      <w:keepLines/>
      <w:numPr>
        <w:ilvl w:val="2"/>
        <w:numId w:val="1"/>
      </w:numPr>
      <w:spacing w:before="260" w:after="260" w:line="416" w:lineRule="atLeast"/>
      <w:textAlignment w:val="baseline"/>
      <w:outlineLvl w:val="2"/>
    </w:pPr>
    <w:rPr>
      <w:b/>
      <w:kern w:val="0"/>
      <w:sz w:val="32"/>
      <w:szCs w:val="20"/>
    </w:rPr>
  </w:style>
  <w:style w:type="paragraph" w:customStyle="1" w:styleId="40">
    <w:name w:val="Heading 4"/>
    <w:basedOn w:val="1"/>
    <w:next w:val="4"/>
    <w:qFormat/>
    <w:uiPriority w:val="0"/>
    <w:pPr>
      <w:keepNext/>
      <w:keepLines/>
      <w:numPr>
        <w:ilvl w:val="3"/>
        <w:numId w:val="1"/>
      </w:numPr>
      <w:spacing w:before="280" w:after="290" w:line="374" w:lineRule="auto"/>
      <w:outlineLvl w:val="3"/>
    </w:pPr>
    <w:rPr>
      <w:rFonts w:ascii="Arial" w:hAnsi="Arial" w:eastAsia="黑体;SimHei" w:cs="Arial"/>
      <w:b/>
      <w:sz w:val="28"/>
      <w:szCs w:val="20"/>
    </w:rPr>
  </w:style>
  <w:style w:type="paragraph" w:customStyle="1" w:styleId="41">
    <w:name w:val="Heading 5"/>
    <w:basedOn w:val="1"/>
    <w:next w:val="4"/>
    <w:qFormat/>
    <w:uiPriority w:val="0"/>
    <w:pPr>
      <w:keepNext/>
      <w:keepLines/>
      <w:numPr>
        <w:ilvl w:val="4"/>
        <w:numId w:val="1"/>
      </w:numPr>
      <w:spacing w:before="280" w:after="290" w:line="374" w:lineRule="auto"/>
      <w:outlineLvl w:val="4"/>
    </w:pPr>
    <w:rPr>
      <w:b/>
      <w:sz w:val="28"/>
      <w:szCs w:val="20"/>
    </w:rPr>
  </w:style>
  <w:style w:type="paragraph" w:customStyle="1" w:styleId="42">
    <w:name w:val="Heading 6"/>
    <w:basedOn w:val="1"/>
    <w:next w:val="4"/>
    <w:qFormat/>
    <w:uiPriority w:val="0"/>
    <w:pPr>
      <w:keepNext/>
      <w:keepLines/>
      <w:numPr>
        <w:ilvl w:val="5"/>
        <w:numId w:val="1"/>
      </w:numPr>
      <w:spacing w:before="240" w:after="64" w:line="319" w:lineRule="auto"/>
      <w:outlineLvl w:val="5"/>
    </w:pPr>
    <w:rPr>
      <w:rFonts w:ascii="Arial" w:hAnsi="Arial" w:eastAsia="黑体;SimHei" w:cs="Arial"/>
      <w:b/>
      <w:sz w:val="24"/>
      <w:szCs w:val="20"/>
    </w:rPr>
  </w:style>
  <w:style w:type="paragraph" w:customStyle="1" w:styleId="43">
    <w:name w:val="Heading 7"/>
    <w:basedOn w:val="1"/>
    <w:next w:val="4"/>
    <w:qFormat/>
    <w:uiPriority w:val="0"/>
    <w:pPr>
      <w:keepNext/>
      <w:keepLines/>
      <w:numPr>
        <w:ilvl w:val="6"/>
        <w:numId w:val="1"/>
      </w:numPr>
      <w:spacing w:before="240" w:after="64" w:line="319" w:lineRule="auto"/>
      <w:outlineLvl w:val="6"/>
    </w:pPr>
    <w:rPr>
      <w:b/>
      <w:sz w:val="24"/>
      <w:szCs w:val="20"/>
    </w:rPr>
  </w:style>
  <w:style w:type="paragraph" w:customStyle="1" w:styleId="44">
    <w:name w:val="Heading 8"/>
    <w:basedOn w:val="1"/>
    <w:next w:val="4"/>
    <w:qFormat/>
    <w:uiPriority w:val="0"/>
    <w:pPr>
      <w:keepNext/>
      <w:keepLines/>
      <w:numPr>
        <w:ilvl w:val="7"/>
        <w:numId w:val="1"/>
      </w:numPr>
      <w:spacing w:before="240" w:after="64" w:line="319" w:lineRule="auto"/>
      <w:outlineLvl w:val="7"/>
    </w:pPr>
    <w:rPr>
      <w:rFonts w:ascii="Arial" w:hAnsi="Arial" w:eastAsia="黑体;SimHei" w:cs="Arial"/>
      <w:sz w:val="24"/>
      <w:szCs w:val="20"/>
    </w:rPr>
  </w:style>
  <w:style w:type="paragraph" w:customStyle="1" w:styleId="45">
    <w:name w:val="Heading 9"/>
    <w:basedOn w:val="1"/>
    <w:next w:val="4"/>
    <w:qFormat/>
    <w:uiPriority w:val="0"/>
    <w:pPr>
      <w:keepNext/>
      <w:keepLines/>
      <w:numPr>
        <w:ilvl w:val="8"/>
        <w:numId w:val="1"/>
      </w:numPr>
      <w:spacing w:before="240" w:after="64" w:line="319" w:lineRule="auto"/>
      <w:outlineLvl w:val="8"/>
    </w:pPr>
    <w:rPr>
      <w:rFonts w:ascii="Arial" w:hAnsi="Arial" w:eastAsia="黑体;SimHei" w:cs="Arial"/>
      <w:szCs w:val="20"/>
    </w:rPr>
  </w:style>
  <w:style w:type="character" w:customStyle="1" w:styleId="46">
    <w:name w:val="WW8Num1z0"/>
    <w:qFormat/>
    <w:uiPriority w:val="0"/>
    <w:rPr>
      <w:color w:val="000000"/>
    </w:rPr>
  </w:style>
  <w:style w:type="character" w:customStyle="1" w:styleId="47">
    <w:name w:val="WW8Num1z1"/>
    <w:qFormat/>
    <w:uiPriority w:val="0"/>
  </w:style>
  <w:style w:type="character" w:customStyle="1" w:styleId="48">
    <w:name w:val="WW8Num1z2"/>
    <w:qFormat/>
    <w:uiPriority w:val="0"/>
  </w:style>
  <w:style w:type="character" w:customStyle="1" w:styleId="49">
    <w:name w:val="WW8Num1z3"/>
    <w:qFormat/>
    <w:uiPriority w:val="0"/>
  </w:style>
  <w:style w:type="character" w:customStyle="1" w:styleId="50">
    <w:name w:val="WW8Num1z4"/>
    <w:qFormat/>
    <w:uiPriority w:val="0"/>
  </w:style>
  <w:style w:type="character" w:customStyle="1" w:styleId="51">
    <w:name w:val="WW8Num1z5"/>
    <w:qFormat/>
    <w:uiPriority w:val="0"/>
  </w:style>
  <w:style w:type="character" w:customStyle="1" w:styleId="52">
    <w:name w:val="WW8Num1z6"/>
    <w:qFormat/>
    <w:uiPriority w:val="0"/>
  </w:style>
  <w:style w:type="character" w:customStyle="1" w:styleId="53">
    <w:name w:val="WW8Num1z7"/>
    <w:qFormat/>
    <w:uiPriority w:val="0"/>
  </w:style>
  <w:style w:type="character" w:customStyle="1" w:styleId="54">
    <w:name w:val="WW8Num1z8"/>
    <w:qFormat/>
    <w:uiPriority w:val="0"/>
  </w:style>
  <w:style w:type="character" w:customStyle="1" w:styleId="55">
    <w:name w:val="WW8Num2z0"/>
    <w:qFormat/>
    <w:uiPriority w:val="0"/>
    <w:rPr>
      <w:rFonts w:ascii="Times New Roman" w:hAnsi="Times New Roman" w:eastAsia="Times New Roman" w:cs="Times New Roman"/>
      <w:lang w:val="en-US"/>
    </w:rPr>
  </w:style>
  <w:style w:type="character" w:customStyle="1" w:styleId="56">
    <w:name w:val="WW8Num2z1"/>
    <w:qFormat/>
    <w:uiPriority w:val="0"/>
  </w:style>
  <w:style w:type="character" w:customStyle="1" w:styleId="57">
    <w:name w:val="WW8Num2z2"/>
    <w:qFormat/>
    <w:uiPriority w:val="0"/>
  </w:style>
  <w:style w:type="character" w:customStyle="1" w:styleId="58">
    <w:name w:val="WW8Num2z3"/>
    <w:qFormat/>
    <w:uiPriority w:val="0"/>
  </w:style>
  <w:style w:type="character" w:customStyle="1" w:styleId="59">
    <w:name w:val="WW8Num2z4"/>
    <w:qFormat/>
    <w:uiPriority w:val="0"/>
  </w:style>
  <w:style w:type="character" w:customStyle="1" w:styleId="60">
    <w:name w:val="WW8Num2z5"/>
    <w:qFormat/>
    <w:uiPriority w:val="0"/>
  </w:style>
  <w:style w:type="character" w:customStyle="1" w:styleId="61">
    <w:name w:val="WW8Num2z6"/>
    <w:qFormat/>
    <w:uiPriority w:val="0"/>
  </w:style>
  <w:style w:type="character" w:customStyle="1" w:styleId="62">
    <w:name w:val="WW8Num2z7"/>
    <w:qFormat/>
    <w:uiPriority w:val="0"/>
  </w:style>
  <w:style w:type="character" w:customStyle="1" w:styleId="63">
    <w:name w:val="WW8Num2z8"/>
    <w:qFormat/>
    <w:uiPriority w:val="0"/>
  </w:style>
  <w:style w:type="character" w:customStyle="1" w:styleId="64">
    <w:name w:val="WW8Num3z0"/>
    <w:qFormat/>
    <w:uiPriority w:val="0"/>
    <w:rPr>
      <w:rFonts w:ascii="Wingdings" w:hAnsi="Wingdings" w:cs="Wingdings"/>
    </w:rPr>
  </w:style>
  <w:style w:type="character" w:customStyle="1" w:styleId="65">
    <w:name w:val="WW8Num4z0"/>
    <w:qFormat/>
    <w:uiPriority w:val="0"/>
  </w:style>
  <w:style w:type="character" w:customStyle="1" w:styleId="66">
    <w:name w:val="WW8Num4z1"/>
    <w:qFormat/>
    <w:uiPriority w:val="0"/>
  </w:style>
  <w:style w:type="character" w:customStyle="1" w:styleId="67">
    <w:name w:val="WW8Num4z2"/>
    <w:qFormat/>
    <w:uiPriority w:val="0"/>
  </w:style>
  <w:style w:type="character" w:customStyle="1" w:styleId="68">
    <w:name w:val="WW8Num4z3"/>
    <w:qFormat/>
    <w:uiPriority w:val="0"/>
  </w:style>
  <w:style w:type="character" w:customStyle="1" w:styleId="69">
    <w:name w:val="WW8Num4z4"/>
    <w:qFormat/>
    <w:uiPriority w:val="0"/>
  </w:style>
  <w:style w:type="character" w:customStyle="1" w:styleId="70">
    <w:name w:val="WW8Num4z5"/>
    <w:qFormat/>
    <w:uiPriority w:val="0"/>
  </w:style>
  <w:style w:type="character" w:customStyle="1" w:styleId="71">
    <w:name w:val="WW8Num4z6"/>
    <w:qFormat/>
    <w:uiPriority w:val="0"/>
  </w:style>
  <w:style w:type="character" w:customStyle="1" w:styleId="72">
    <w:name w:val="WW8Num4z7"/>
    <w:qFormat/>
    <w:uiPriority w:val="0"/>
  </w:style>
  <w:style w:type="character" w:customStyle="1" w:styleId="73">
    <w:name w:val="WW8Num4z8"/>
    <w:qFormat/>
    <w:uiPriority w:val="0"/>
  </w:style>
  <w:style w:type="character" w:customStyle="1" w:styleId="74">
    <w:name w:val="WW8Num5z0"/>
    <w:qFormat/>
    <w:uiPriority w:val="0"/>
    <w:rPr>
      <w:i/>
    </w:rPr>
  </w:style>
  <w:style w:type="character" w:customStyle="1" w:styleId="75">
    <w:name w:val="WW8Num6z0"/>
    <w:qFormat/>
    <w:uiPriority w:val="0"/>
  </w:style>
  <w:style w:type="character" w:customStyle="1" w:styleId="76">
    <w:name w:val="WW8Num6z2"/>
    <w:qFormat/>
    <w:uiPriority w:val="0"/>
  </w:style>
  <w:style w:type="character" w:customStyle="1" w:styleId="77">
    <w:name w:val="WW8Num6z3"/>
    <w:qFormat/>
    <w:uiPriority w:val="0"/>
  </w:style>
  <w:style w:type="character" w:customStyle="1" w:styleId="78">
    <w:name w:val="WW8Num6z4"/>
    <w:qFormat/>
    <w:uiPriority w:val="0"/>
  </w:style>
  <w:style w:type="character" w:customStyle="1" w:styleId="79">
    <w:name w:val="WW8Num6z5"/>
    <w:qFormat/>
    <w:uiPriority w:val="0"/>
  </w:style>
  <w:style w:type="character" w:customStyle="1" w:styleId="80">
    <w:name w:val="WW8Num6z6"/>
    <w:qFormat/>
    <w:uiPriority w:val="0"/>
  </w:style>
  <w:style w:type="character" w:customStyle="1" w:styleId="81">
    <w:name w:val="WW8Num6z7"/>
    <w:qFormat/>
    <w:uiPriority w:val="0"/>
  </w:style>
  <w:style w:type="character" w:customStyle="1" w:styleId="82">
    <w:name w:val="WW8Num6z8"/>
    <w:qFormat/>
    <w:uiPriority w:val="0"/>
  </w:style>
  <w:style w:type="character" w:customStyle="1" w:styleId="83">
    <w:name w:val="WW8Num7z0"/>
    <w:qFormat/>
    <w:uiPriority w:val="0"/>
  </w:style>
  <w:style w:type="character" w:customStyle="1" w:styleId="84">
    <w:name w:val="WW8Num8z0"/>
    <w:qFormat/>
    <w:uiPriority w:val="0"/>
    <w:rPr>
      <w:rFonts w:ascii="Wingdings" w:hAnsi="Wingdings" w:cs="Wingdings"/>
    </w:rPr>
  </w:style>
  <w:style w:type="character" w:customStyle="1" w:styleId="85">
    <w:name w:val="WW8Num9z0"/>
    <w:qFormat/>
    <w:uiPriority w:val="0"/>
  </w:style>
  <w:style w:type="character" w:customStyle="1" w:styleId="86">
    <w:name w:val="WW8Num9z1"/>
    <w:qFormat/>
    <w:uiPriority w:val="0"/>
  </w:style>
  <w:style w:type="character" w:customStyle="1" w:styleId="87">
    <w:name w:val="WW8Num9z2"/>
    <w:qFormat/>
    <w:uiPriority w:val="0"/>
  </w:style>
  <w:style w:type="character" w:customStyle="1" w:styleId="88">
    <w:name w:val="WW8Num9z3"/>
    <w:qFormat/>
    <w:uiPriority w:val="0"/>
  </w:style>
  <w:style w:type="character" w:customStyle="1" w:styleId="89">
    <w:name w:val="WW8Num9z4"/>
    <w:qFormat/>
    <w:uiPriority w:val="0"/>
  </w:style>
  <w:style w:type="character" w:customStyle="1" w:styleId="90">
    <w:name w:val="WW8Num9z5"/>
    <w:qFormat/>
    <w:uiPriority w:val="0"/>
  </w:style>
  <w:style w:type="character" w:customStyle="1" w:styleId="91">
    <w:name w:val="WW8Num9z6"/>
    <w:qFormat/>
    <w:uiPriority w:val="0"/>
  </w:style>
  <w:style w:type="character" w:customStyle="1" w:styleId="92">
    <w:name w:val="WW8Num9z7"/>
    <w:qFormat/>
    <w:uiPriority w:val="0"/>
  </w:style>
  <w:style w:type="character" w:customStyle="1" w:styleId="93">
    <w:name w:val="WW8Num9z8"/>
    <w:qFormat/>
    <w:uiPriority w:val="0"/>
  </w:style>
  <w:style w:type="character" w:customStyle="1" w:styleId="94">
    <w:name w:val="WW8Num10z0"/>
    <w:qFormat/>
    <w:uiPriority w:val="0"/>
  </w:style>
  <w:style w:type="character" w:customStyle="1" w:styleId="95">
    <w:name w:val="WW8Num10z1"/>
    <w:qFormat/>
    <w:uiPriority w:val="0"/>
  </w:style>
  <w:style w:type="character" w:customStyle="1" w:styleId="96">
    <w:name w:val="WW8Num10z2"/>
    <w:qFormat/>
    <w:uiPriority w:val="0"/>
  </w:style>
  <w:style w:type="character" w:customStyle="1" w:styleId="97">
    <w:name w:val="WW8Num10z3"/>
    <w:qFormat/>
    <w:uiPriority w:val="0"/>
  </w:style>
  <w:style w:type="character" w:customStyle="1" w:styleId="98">
    <w:name w:val="WW8Num10z4"/>
    <w:qFormat/>
    <w:uiPriority w:val="0"/>
  </w:style>
  <w:style w:type="character" w:customStyle="1" w:styleId="99">
    <w:name w:val="WW8Num10z5"/>
    <w:qFormat/>
    <w:uiPriority w:val="0"/>
  </w:style>
  <w:style w:type="character" w:customStyle="1" w:styleId="100">
    <w:name w:val="WW8Num10z6"/>
    <w:qFormat/>
    <w:uiPriority w:val="0"/>
  </w:style>
  <w:style w:type="character" w:customStyle="1" w:styleId="101">
    <w:name w:val="WW8Num10z7"/>
    <w:qFormat/>
    <w:uiPriority w:val="0"/>
  </w:style>
  <w:style w:type="character" w:customStyle="1" w:styleId="102">
    <w:name w:val="WW8Num10z8"/>
    <w:qFormat/>
    <w:uiPriority w:val="0"/>
  </w:style>
  <w:style w:type="character" w:customStyle="1" w:styleId="103">
    <w:name w:val="WW8Num11z0"/>
    <w:qFormat/>
    <w:uiPriority w:val="0"/>
  </w:style>
  <w:style w:type="character" w:customStyle="1" w:styleId="104">
    <w:name w:val="WW8Num11z1"/>
    <w:qFormat/>
    <w:uiPriority w:val="0"/>
  </w:style>
  <w:style w:type="character" w:customStyle="1" w:styleId="105">
    <w:name w:val="WW8Num11z2"/>
    <w:qFormat/>
    <w:uiPriority w:val="0"/>
  </w:style>
  <w:style w:type="character" w:customStyle="1" w:styleId="106">
    <w:name w:val="WW8Num11z3"/>
    <w:qFormat/>
    <w:uiPriority w:val="0"/>
  </w:style>
  <w:style w:type="character" w:customStyle="1" w:styleId="107">
    <w:name w:val="WW8Num11z4"/>
    <w:qFormat/>
    <w:uiPriority w:val="0"/>
  </w:style>
  <w:style w:type="character" w:customStyle="1" w:styleId="108">
    <w:name w:val="WW8Num11z5"/>
    <w:qFormat/>
    <w:uiPriority w:val="0"/>
  </w:style>
  <w:style w:type="character" w:customStyle="1" w:styleId="109">
    <w:name w:val="WW8Num11z6"/>
    <w:qFormat/>
    <w:uiPriority w:val="0"/>
  </w:style>
  <w:style w:type="character" w:customStyle="1" w:styleId="110">
    <w:name w:val="WW8Num11z7"/>
    <w:qFormat/>
    <w:uiPriority w:val="0"/>
  </w:style>
  <w:style w:type="character" w:customStyle="1" w:styleId="111">
    <w:name w:val="WW8Num11z8"/>
    <w:qFormat/>
    <w:uiPriority w:val="0"/>
  </w:style>
  <w:style w:type="character" w:customStyle="1" w:styleId="112">
    <w:name w:val="WW8Num12z0"/>
    <w:qFormat/>
    <w:uiPriority w:val="0"/>
  </w:style>
  <w:style w:type="character" w:customStyle="1" w:styleId="113">
    <w:name w:val="WW8Num13z0"/>
    <w:qFormat/>
    <w:uiPriority w:val="0"/>
  </w:style>
  <w:style w:type="character" w:customStyle="1" w:styleId="114">
    <w:name w:val="WW8Num14z0"/>
    <w:qFormat/>
    <w:uiPriority w:val="0"/>
    <w:rPr>
      <w:rFonts w:ascii="Arial" w:hAnsi="Arial" w:cs="Arial"/>
    </w:rPr>
  </w:style>
  <w:style w:type="character" w:customStyle="1" w:styleId="115">
    <w:name w:val="WW8Num14z1"/>
    <w:qFormat/>
    <w:uiPriority w:val="0"/>
  </w:style>
  <w:style w:type="character" w:customStyle="1" w:styleId="116">
    <w:name w:val="WW8Num15z0"/>
    <w:qFormat/>
    <w:uiPriority w:val="0"/>
  </w:style>
  <w:style w:type="character" w:customStyle="1" w:styleId="117">
    <w:name w:val="WW8Num16z0"/>
    <w:qFormat/>
    <w:uiPriority w:val="0"/>
    <w:rPr>
      <w:rFonts w:ascii="Arial" w:hAnsi="Arial" w:cs="Arial"/>
      <w:color w:val="000000"/>
    </w:rPr>
  </w:style>
  <w:style w:type="character" w:customStyle="1" w:styleId="118">
    <w:name w:val="WW8Num17z0"/>
    <w:qFormat/>
    <w:uiPriority w:val="0"/>
  </w:style>
  <w:style w:type="character" w:customStyle="1" w:styleId="119">
    <w:name w:val="WW8Num17z1"/>
    <w:qFormat/>
    <w:uiPriority w:val="0"/>
  </w:style>
  <w:style w:type="character" w:customStyle="1" w:styleId="120">
    <w:name w:val="WW8Num17z2"/>
    <w:qFormat/>
    <w:uiPriority w:val="0"/>
  </w:style>
  <w:style w:type="character" w:customStyle="1" w:styleId="121">
    <w:name w:val="WW8Num17z3"/>
    <w:qFormat/>
    <w:uiPriority w:val="0"/>
  </w:style>
  <w:style w:type="character" w:customStyle="1" w:styleId="122">
    <w:name w:val="WW8Num17z4"/>
    <w:qFormat/>
    <w:uiPriority w:val="0"/>
  </w:style>
  <w:style w:type="character" w:customStyle="1" w:styleId="123">
    <w:name w:val="WW8Num17z5"/>
    <w:qFormat/>
    <w:uiPriority w:val="0"/>
  </w:style>
  <w:style w:type="character" w:customStyle="1" w:styleId="124">
    <w:name w:val="WW8Num17z6"/>
    <w:qFormat/>
    <w:uiPriority w:val="0"/>
  </w:style>
  <w:style w:type="character" w:customStyle="1" w:styleId="125">
    <w:name w:val="WW8Num17z7"/>
    <w:qFormat/>
    <w:uiPriority w:val="0"/>
  </w:style>
  <w:style w:type="character" w:customStyle="1" w:styleId="126">
    <w:name w:val="WW8Num17z8"/>
    <w:qFormat/>
    <w:uiPriority w:val="0"/>
  </w:style>
  <w:style w:type="character" w:customStyle="1" w:styleId="127">
    <w:name w:val="WW8Num18z0"/>
    <w:qFormat/>
    <w:uiPriority w:val="0"/>
  </w:style>
  <w:style w:type="character" w:customStyle="1" w:styleId="128">
    <w:name w:val="WW8Num18z1"/>
    <w:qFormat/>
    <w:uiPriority w:val="0"/>
  </w:style>
  <w:style w:type="character" w:customStyle="1" w:styleId="129">
    <w:name w:val="WW8Num18z2"/>
    <w:qFormat/>
    <w:uiPriority w:val="0"/>
  </w:style>
  <w:style w:type="character" w:customStyle="1" w:styleId="130">
    <w:name w:val="WW8Num18z3"/>
    <w:qFormat/>
    <w:uiPriority w:val="0"/>
  </w:style>
  <w:style w:type="character" w:customStyle="1" w:styleId="131">
    <w:name w:val="WW8Num18z4"/>
    <w:qFormat/>
    <w:uiPriority w:val="0"/>
  </w:style>
  <w:style w:type="character" w:customStyle="1" w:styleId="132">
    <w:name w:val="WW8Num18z5"/>
    <w:qFormat/>
    <w:uiPriority w:val="0"/>
  </w:style>
  <w:style w:type="character" w:customStyle="1" w:styleId="133">
    <w:name w:val="WW8Num18z6"/>
    <w:qFormat/>
    <w:uiPriority w:val="0"/>
  </w:style>
  <w:style w:type="character" w:customStyle="1" w:styleId="134">
    <w:name w:val="WW8Num18z7"/>
    <w:qFormat/>
    <w:uiPriority w:val="0"/>
  </w:style>
  <w:style w:type="character" w:customStyle="1" w:styleId="135">
    <w:name w:val="WW8Num18z8"/>
    <w:qFormat/>
    <w:uiPriority w:val="0"/>
  </w:style>
  <w:style w:type="character" w:customStyle="1" w:styleId="136">
    <w:name w:val="WW8Num19z0"/>
    <w:qFormat/>
    <w:uiPriority w:val="0"/>
  </w:style>
  <w:style w:type="character" w:customStyle="1" w:styleId="137">
    <w:name w:val="WW8Num20z0"/>
    <w:qFormat/>
    <w:uiPriority w:val="0"/>
  </w:style>
  <w:style w:type="character" w:customStyle="1" w:styleId="138">
    <w:name w:val="WW8Num21z0"/>
    <w:qFormat/>
    <w:uiPriority w:val="0"/>
  </w:style>
  <w:style w:type="character" w:customStyle="1" w:styleId="139">
    <w:name w:val="WW8Num21z1"/>
    <w:qFormat/>
    <w:uiPriority w:val="0"/>
  </w:style>
  <w:style w:type="character" w:customStyle="1" w:styleId="140">
    <w:name w:val="WW8Num21z2"/>
    <w:qFormat/>
    <w:uiPriority w:val="0"/>
  </w:style>
  <w:style w:type="character" w:customStyle="1" w:styleId="141">
    <w:name w:val="WW8Num21z3"/>
    <w:qFormat/>
    <w:uiPriority w:val="0"/>
  </w:style>
  <w:style w:type="character" w:customStyle="1" w:styleId="142">
    <w:name w:val="WW8Num21z4"/>
    <w:qFormat/>
    <w:uiPriority w:val="0"/>
  </w:style>
  <w:style w:type="character" w:customStyle="1" w:styleId="143">
    <w:name w:val="WW8Num21z5"/>
    <w:qFormat/>
    <w:uiPriority w:val="0"/>
  </w:style>
  <w:style w:type="character" w:customStyle="1" w:styleId="144">
    <w:name w:val="WW8Num21z6"/>
    <w:qFormat/>
    <w:uiPriority w:val="0"/>
  </w:style>
  <w:style w:type="character" w:customStyle="1" w:styleId="145">
    <w:name w:val="WW8Num21z7"/>
    <w:qFormat/>
    <w:uiPriority w:val="0"/>
  </w:style>
  <w:style w:type="character" w:customStyle="1" w:styleId="146">
    <w:name w:val="WW8Num21z8"/>
    <w:qFormat/>
    <w:uiPriority w:val="0"/>
  </w:style>
  <w:style w:type="character" w:customStyle="1" w:styleId="147">
    <w:name w:val="WW8Num22z0"/>
    <w:qFormat/>
    <w:uiPriority w:val="0"/>
    <w:rPr>
      <w:rFonts w:ascii="Arial" w:hAnsi="Arial" w:cs="Arial"/>
    </w:rPr>
  </w:style>
  <w:style w:type="character" w:customStyle="1" w:styleId="148">
    <w:name w:val="WW8Num22z1"/>
    <w:qFormat/>
    <w:uiPriority w:val="0"/>
  </w:style>
  <w:style w:type="character" w:customStyle="1" w:styleId="149">
    <w:name w:val="WW8Num23z0"/>
    <w:qFormat/>
    <w:uiPriority w:val="0"/>
  </w:style>
  <w:style w:type="character" w:customStyle="1" w:styleId="150">
    <w:name w:val="WW8Num23z1"/>
    <w:qFormat/>
    <w:uiPriority w:val="0"/>
  </w:style>
  <w:style w:type="character" w:customStyle="1" w:styleId="151">
    <w:name w:val="WW8Num23z2"/>
    <w:qFormat/>
    <w:uiPriority w:val="0"/>
  </w:style>
  <w:style w:type="character" w:customStyle="1" w:styleId="152">
    <w:name w:val="WW8Num23z3"/>
    <w:qFormat/>
    <w:uiPriority w:val="0"/>
  </w:style>
  <w:style w:type="character" w:customStyle="1" w:styleId="153">
    <w:name w:val="WW8Num23z4"/>
    <w:qFormat/>
    <w:uiPriority w:val="0"/>
  </w:style>
  <w:style w:type="character" w:customStyle="1" w:styleId="154">
    <w:name w:val="WW8Num23z5"/>
    <w:qFormat/>
    <w:uiPriority w:val="0"/>
  </w:style>
  <w:style w:type="character" w:customStyle="1" w:styleId="155">
    <w:name w:val="WW8Num23z6"/>
    <w:qFormat/>
    <w:uiPriority w:val="0"/>
  </w:style>
  <w:style w:type="character" w:customStyle="1" w:styleId="156">
    <w:name w:val="WW8Num23z7"/>
    <w:qFormat/>
    <w:uiPriority w:val="0"/>
  </w:style>
  <w:style w:type="character" w:customStyle="1" w:styleId="157">
    <w:name w:val="WW8Num23z8"/>
    <w:qFormat/>
    <w:uiPriority w:val="0"/>
  </w:style>
  <w:style w:type="character" w:customStyle="1" w:styleId="158">
    <w:name w:val="WW8Num24z0"/>
    <w:qFormat/>
    <w:uiPriority w:val="0"/>
    <w:rPr>
      <w:b/>
      <w:sz w:val="24"/>
    </w:rPr>
  </w:style>
  <w:style w:type="character" w:customStyle="1" w:styleId="159">
    <w:name w:val="WW8Num24z1"/>
    <w:qFormat/>
    <w:uiPriority w:val="0"/>
    <w:rPr>
      <w:sz w:val="24"/>
    </w:rPr>
  </w:style>
  <w:style w:type="character" w:customStyle="1" w:styleId="160">
    <w:name w:val="WW8Num24z2"/>
    <w:qFormat/>
    <w:uiPriority w:val="0"/>
  </w:style>
  <w:style w:type="character" w:customStyle="1" w:styleId="161">
    <w:name w:val="WW8Num25z0"/>
    <w:qFormat/>
    <w:uiPriority w:val="0"/>
  </w:style>
  <w:style w:type="character" w:customStyle="1" w:styleId="162">
    <w:name w:val="WW8Num26z0"/>
    <w:qFormat/>
    <w:uiPriority w:val="0"/>
  </w:style>
  <w:style w:type="character" w:customStyle="1" w:styleId="163">
    <w:name w:val="WW8Num27z0"/>
    <w:qFormat/>
    <w:uiPriority w:val="0"/>
  </w:style>
  <w:style w:type="character" w:customStyle="1" w:styleId="164">
    <w:name w:val="WW8Num28z0"/>
    <w:qFormat/>
    <w:uiPriority w:val="0"/>
  </w:style>
  <w:style w:type="character" w:customStyle="1" w:styleId="165">
    <w:name w:val="WW8Num28z1"/>
    <w:qFormat/>
    <w:uiPriority w:val="0"/>
  </w:style>
  <w:style w:type="character" w:customStyle="1" w:styleId="166">
    <w:name w:val="WW8Num28z2"/>
    <w:qFormat/>
    <w:uiPriority w:val="0"/>
  </w:style>
  <w:style w:type="character" w:customStyle="1" w:styleId="167">
    <w:name w:val="WW8Num28z3"/>
    <w:qFormat/>
    <w:uiPriority w:val="0"/>
  </w:style>
  <w:style w:type="character" w:customStyle="1" w:styleId="168">
    <w:name w:val="WW8Num28z4"/>
    <w:qFormat/>
    <w:uiPriority w:val="0"/>
  </w:style>
  <w:style w:type="character" w:customStyle="1" w:styleId="169">
    <w:name w:val="WW8Num28z5"/>
    <w:qFormat/>
    <w:uiPriority w:val="0"/>
  </w:style>
  <w:style w:type="character" w:customStyle="1" w:styleId="170">
    <w:name w:val="WW8Num28z6"/>
    <w:qFormat/>
    <w:uiPriority w:val="0"/>
  </w:style>
  <w:style w:type="character" w:customStyle="1" w:styleId="171">
    <w:name w:val="WW8Num28z7"/>
    <w:qFormat/>
    <w:uiPriority w:val="0"/>
  </w:style>
  <w:style w:type="character" w:customStyle="1" w:styleId="172">
    <w:name w:val="WW8Num28z8"/>
    <w:qFormat/>
    <w:uiPriority w:val="0"/>
  </w:style>
  <w:style w:type="character" w:customStyle="1" w:styleId="173">
    <w:name w:val="WW8Num29z0"/>
    <w:qFormat/>
    <w:uiPriority w:val="0"/>
  </w:style>
  <w:style w:type="character" w:customStyle="1" w:styleId="174">
    <w:name w:val="WW8Num29z1"/>
    <w:qFormat/>
    <w:uiPriority w:val="0"/>
  </w:style>
  <w:style w:type="character" w:customStyle="1" w:styleId="175">
    <w:name w:val="WW8Num29z2"/>
    <w:qFormat/>
    <w:uiPriority w:val="0"/>
  </w:style>
  <w:style w:type="character" w:customStyle="1" w:styleId="176">
    <w:name w:val="WW8Num29z3"/>
    <w:qFormat/>
    <w:uiPriority w:val="0"/>
  </w:style>
  <w:style w:type="character" w:customStyle="1" w:styleId="177">
    <w:name w:val="WW8Num29z4"/>
    <w:qFormat/>
    <w:uiPriority w:val="0"/>
  </w:style>
  <w:style w:type="character" w:customStyle="1" w:styleId="178">
    <w:name w:val="WW8Num29z5"/>
    <w:qFormat/>
    <w:uiPriority w:val="0"/>
  </w:style>
  <w:style w:type="character" w:customStyle="1" w:styleId="179">
    <w:name w:val="WW8Num29z6"/>
    <w:qFormat/>
    <w:uiPriority w:val="0"/>
  </w:style>
  <w:style w:type="character" w:customStyle="1" w:styleId="180">
    <w:name w:val="WW8Num29z7"/>
    <w:qFormat/>
    <w:uiPriority w:val="0"/>
  </w:style>
  <w:style w:type="character" w:customStyle="1" w:styleId="181">
    <w:name w:val="WW8Num29z8"/>
    <w:qFormat/>
    <w:uiPriority w:val="0"/>
  </w:style>
  <w:style w:type="character" w:customStyle="1" w:styleId="182">
    <w:name w:val="WW8Num30z0"/>
    <w:qFormat/>
    <w:uiPriority w:val="0"/>
  </w:style>
  <w:style w:type="character" w:customStyle="1" w:styleId="183">
    <w:name w:val="WW8Num30z1"/>
    <w:qFormat/>
    <w:uiPriority w:val="0"/>
  </w:style>
  <w:style w:type="character" w:customStyle="1" w:styleId="184">
    <w:name w:val="WW8Num30z2"/>
    <w:qFormat/>
    <w:uiPriority w:val="0"/>
  </w:style>
  <w:style w:type="character" w:customStyle="1" w:styleId="185">
    <w:name w:val="WW8Num30z3"/>
    <w:qFormat/>
    <w:uiPriority w:val="0"/>
  </w:style>
  <w:style w:type="character" w:customStyle="1" w:styleId="186">
    <w:name w:val="WW8Num30z4"/>
    <w:qFormat/>
    <w:uiPriority w:val="0"/>
  </w:style>
  <w:style w:type="character" w:customStyle="1" w:styleId="187">
    <w:name w:val="WW8Num30z5"/>
    <w:qFormat/>
    <w:uiPriority w:val="0"/>
  </w:style>
  <w:style w:type="character" w:customStyle="1" w:styleId="188">
    <w:name w:val="WW8Num30z6"/>
    <w:qFormat/>
    <w:uiPriority w:val="0"/>
  </w:style>
  <w:style w:type="character" w:customStyle="1" w:styleId="189">
    <w:name w:val="WW8Num30z7"/>
    <w:qFormat/>
    <w:uiPriority w:val="0"/>
  </w:style>
  <w:style w:type="character" w:customStyle="1" w:styleId="190">
    <w:name w:val="WW8Num30z8"/>
    <w:qFormat/>
    <w:uiPriority w:val="0"/>
  </w:style>
  <w:style w:type="character" w:customStyle="1" w:styleId="191">
    <w:name w:val="WW8Num31z0"/>
    <w:qFormat/>
    <w:uiPriority w:val="0"/>
    <w:rPr>
      <w:rFonts w:ascii="Arial" w:hAnsi="Arial" w:cs="Arial"/>
    </w:rPr>
  </w:style>
  <w:style w:type="character" w:customStyle="1" w:styleId="192">
    <w:name w:val="WW8Num31z1"/>
    <w:qFormat/>
    <w:uiPriority w:val="0"/>
  </w:style>
  <w:style w:type="character" w:customStyle="1" w:styleId="193">
    <w:name w:val="WW8Num32z0"/>
    <w:qFormat/>
    <w:uiPriority w:val="0"/>
    <w:rPr>
      <w:rFonts w:ascii="Arial" w:hAnsi="Arial" w:cs="Arial"/>
      <w:color w:val="000000"/>
    </w:rPr>
  </w:style>
  <w:style w:type="character" w:customStyle="1" w:styleId="194">
    <w:name w:val="WW8Num32z3"/>
    <w:qFormat/>
    <w:uiPriority w:val="0"/>
    <w:rPr>
      <w:rFonts w:ascii="宋体;SimSun" w:hAnsi="宋体;SimSun" w:eastAsia="宋体;SimSun" w:cs="Arial"/>
      <w:color w:val="000000"/>
    </w:rPr>
  </w:style>
  <w:style w:type="character" w:customStyle="1" w:styleId="195">
    <w:name w:val="WW8Num33z0"/>
    <w:qFormat/>
    <w:uiPriority w:val="0"/>
    <w:rPr>
      <w:rFonts w:ascii="Arial" w:hAnsi="Arial" w:cs="Arial"/>
      <w:color w:val="000000"/>
    </w:rPr>
  </w:style>
  <w:style w:type="character" w:customStyle="1" w:styleId="196">
    <w:name w:val="WW8Num34z0"/>
    <w:qFormat/>
    <w:uiPriority w:val="0"/>
  </w:style>
  <w:style w:type="character" w:customStyle="1" w:styleId="197">
    <w:name w:val="WW8Num35z0"/>
    <w:qFormat/>
    <w:uiPriority w:val="0"/>
  </w:style>
  <w:style w:type="character" w:customStyle="1" w:styleId="198">
    <w:name w:val="WW8Num35z1"/>
    <w:qFormat/>
    <w:uiPriority w:val="0"/>
  </w:style>
  <w:style w:type="character" w:customStyle="1" w:styleId="199">
    <w:name w:val="WW8Num35z2"/>
    <w:qFormat/>
    <w:uiPriority w:val="0"/>
  </w:style>
  <w:style w:type="character" w:customStyle="1" w:styleId="200">
    <w:name w:val="WW8Num35z3"/>
    <w:qFormat/>
    <w:uiPriority w:val="0"/>
  </w:style>
  <w:style w:type="character" w:customStyle="1" w:styleId="201">
    <w:name w:val="WW8Num35z4"/>
    <w:qFormat/>
    <w:uiPriority w:val="0"/>
  </w:style>
  <w:style w:type="character" w:customStyle="1" w:styleId="202">
    <w:name w:val="WW8Num35z5"/>
    <w:qFormat/>
    <w:uiPriority w:val="0"/>
  </w:style>
  <w:style w:type="character" w:customStyle="1" w:styleId="203">
    <w:name w:val="WW8Num35z6"/>
    <w:qFormat/>
    <w:uiPriority w:val="0"/>
  </w:style>
  <w:style w:type="character" w:customStyle="1" w:styleId="204">
    <w:name w:val="WW8Num35z7"/>
    <w:qFormat/>
    <w:uiPriority w:val="0"/>
  </w:style>
  <w:style w:type="character" w:customStyle="1" w:styleId="205">
    <w:name w:val="WW8Num35z8"/>
    <w:qFormat/>
    <w:uiPriority w:val="0"/>
  </w:style>
  <w:style w:type="character" w:customStyle="1" w:styleId="206">
    <w:name w:val="标题 1 Char"/>
    <w:qFormat/>
    <w:uiPriority w:val="0"/>
    <w:rPr>
      <w:b/>
      <w:kern w:val="2"/>
      <w:sz w:val="44"/>
    </w:rPr>
  </w:style>
  <w:style w:type="character" w:customStyle="1" w:styleId="207">
    <w:name w:val="标题 2 Char"/>
    <w:qFormat/>
    <w:uiPriority w:val="0"/>
    <w:rPr>
      <w:rFonts w:ascii="Arial" w:hAnsi="Arial" w:eastAsia="黑体;SimHei" w:cs="Arial"/>
      <w:b/>
      <w:kern w:val="2"/>
      <w:sz w:val="32"/>
    </w:rPr>
  </w:style>
  <w:style w:type="character" w:customStyle="1" w:styleId="208">
    <w:name w:val="标题 3 Char"/>
    <w:qFormat/>
    <w:uiPriority w:val="0"/>
    <w:rPr>
      <w:b/>
      <w:sz w:val="32"/>
    </w:rPr>
  </w:style>
  <w:style w:type="character" w:customStyle="1" w:styleId="209">
    <w:name w:val="正文缩进 Char"/>
    <w:qFormat/>
    <w:uiPriority w:val="0"/>
    <w:rPr>
      <w:kern w:val="2"/>
      <w:sz w:val="21"/>
    </w:rPr>
  </w:style>
  <w:style w:type="character" w:customStyle="1" w:styleId="210">
    <w:name w:val="标题 4 Char"/>
    <w:qFormat/>
    <w:uiPriority w:val="0"/>
    <w:rPr>
      <w:rFonts w:ascii="Arial" w:hAnsi="Arial" w:eastAsia="黑体;SimHei" w:cs="Arial"/>
      <w:b/>
      <w:kern w:val="2"/>
      <w:sz w:val="28"/>
    </w:rPr>
  </w:style>
  <w:style w:type="character" w:customStyle="1" w:styleId="211">
    <w:name w:val="标题 5 Char"/>
    <w:qFormat/>
    <w:uiPriority w:val="0"/>
    <w:rPr>
      <w:b/>
      <w:kern w:val="2"/>
      <w:sz w:val="28"/>
    </w:rPr>
  </w:style>
  <w:style w:type="character" w:customStyle="1" w:styleId="212">
    <w:name w:val="标题 6 Char"/>
    <w:qFormat/>
    <w:uiPriority w:val="0"/>
    <w:rPr>
      <w:rFonts w:ascii="Arial" w:hAnsi="Arial" w:eastAsia="黑体;SimHei" w:cs="Arial"/>
      <w:b/>
      <w:kern w:val="2"/>
      <w:sz w:val="24"/>
    </w:rPr>
  </w:style>
  <w:style w:type="character" w:customStyle="1" w:styleId="213">
    <w:name w:val="标题 7 Char"/>
    <w:qFormat/>
    <w:uiPriority w:val="0"/>
    <w:rPr>
      <w:b/>
      <w:kern w:val="2"/>
      <w:sz w:val="24"/>
    </w:rPr>
  </w:style>
  <w:style w:type="character" w:customStyle="1" w:styleId="214">
    <w:name w:val="标题 8 Char"/>
    <w:qFormat/>
    <w:uiPriority w:val="0"/>
    <w:rPr>
      <w:rFonts w:ascii="Arial" w:hAnsi="Arial" w:eastAsia="黑体;SimHei" w:cs="Arial"/>
      <w:kern w:val="2"/>
      <w:sz w:val="24"/>
    </w:rPr>
  </w:style>
  <w:style w:type="character" w:customStyle="1" w:styleId="215">
    <w:name w:val="标题 9 Char"/>
    <w:qFormat/>
    <w:uiPriority w:val="0"/>
    <w:rPr>
      <w:rFonts w:ascii="Arial" w:hAnsi="Arial" w:eastAsia="黑体;SimHei" w:cs="Arial"/>
      <w:kern w:val="2"/>
      <w:sz w:val="21"/>
    </w:rPr>
  </w:style>
  <w:style w:type="character" w:customStyle="1" w:styleId="216">
    <w:name w:val="Strong Emphasis"/>
    <w:qFormat/>
    <w:uiPriority w:val="0"/>
    <w:rPr>
      <w:b/>
      <w:bCs/>
    </w:rPr>
  </w:style>
  <w:style w:type="character" w:customStyle="1" w:styleId="217">
    <w:name w:val="纯文本 Char"/>
    <w:qFormat/>
    <w:uiPriority w:val="0"/>
    <w:rPr>
      <w:rFonts w:ascii="宋体;SimSun" w:hAnsi="宋体;SimSun" w:cs="Courier New"/>
      <w:kern w:val="2"/>
      <w:sz w:val="21"/>
    </w:rPr>
  </w:style>
  <w:style w:type="character" w:customStyle="1" w:styleId="218">
    <w:name w:val="正文文本 Char"/>
    <w:qFormat/>
    <w:uiPriority w:val="0"/>
    <w:rPr>
      <w:rFonts w:ascii="仿宋体;宋体" w:hAnsi="仿宋体;宋体" w:eastAsia="仿宋体;宋体"/>
      <w:lang w:bidi="ar-SA"/>
    </w:rPr>
  </w:style>
  <w:style w:type="character" w:customStyle="1" w:styleId="219">
    <w:name w:val="Internet Link"/>
    <w:qFormat/>
    <w:uiPriority w:val="0"/>
    <w:rPr>
      <w:color w:val="0000FF"/>
      <w:u w:val="single"/>
    </w:rPr>
  </w:style>
  <w:style w:type="character" w:customStyle="1" w:styleId="220">
    <w:name w:val="Page Number"/>
    <w:basedOn w:val="32"/>
    <w:qFormat/>
    <w:uiPriority w:val="0"/>
  </w:style>
  <w:style w:type="character" w:customStyle="1" w:styleId="221">
    <w:name w:val="批注主题 Char"/>
    <w:qFormat/>
    <w:uiPriority w:val="0"/>
    <w:rPr>
      <w:b/>
      <w:bCs/>
      <w:kern w:val="2"/>
      <w:sz w:val="21"/>
      <w:szCs w:val="24"/>
    </w:rPr>
  </w:style>
  <w:style w:type="character" w:customStyle="1" w:styleId="222">
    <w:name w:val="批注文字 Char"/>
    <w:qFormat/>
    <w:uiPriority w:val="0"/>
    <w:rPr>
      <w:kern w:val="2"/>
      <w:sz w:val="21"/>
      <w:szCs w:val="24"/>
    </w:rPr>
  </w:style>
  <w:style w:type="character" w:customStyle="1" w:styleId="223">
    <w:name w:val="批注框文本 Char"/>
    <w:qFormat/>
    <w:uiPriority w:val="0"/>
    <w:rPr>
      <w:kern w:val="2"/>
      <w:sz w:val="18"/>
      <w:szCs w:val="18"/>
    </w:rPr>
  </w:style>
  <w:style w:type="character" w:customStyle="1" w:styleId="224">
    <w:name w:val="页眉 Char"/>
    <w:qFormat/>
    <w:uiPriority w:val="99"/>
    <w:rPr>
      <w:kern w:val="2"/>
      <w:sz w:val="18"/>
      <w:szCs w:val="18"/>
    </w:rPr>
  </w:style>
  <w:style w:type="character" w:customStyle="1" w:styleId="225">
    <w:name w:val="页脚 Char"/>
    <w:qFormat/>
    <w:uiPriority w:val="99"/>
    <w:rPr>
      <w:kern w:val="2"/>
      <w:sz w:val="18"/>
      <w:szCs w:val="18"/>
    </w:rPr>
  </w:style>
  <w:style w:type="character" w:customStyle="1" w:styleId="226">
    <w:name w:val="Footnote Characters"/>
    <w:qFormat/>
    <w:uiPriority w:val="0"/>
    <w:rPr>
      <w:vertAlign w:val="superscript"/>
    </w:rPr>
  </w:style>
  <w:style w:type="character" w:customStyle="1" w:styleId="227">
    <w:name w:val="Visited Internet Link"/>
    <w:qFormat/>
    <w:uiPriority w:val="0"/>
    <w:rPr>
      <w:color w:val="800080"/>
      <w:u w:val="single"/>
    </w:rPr>
  </w:style>
  <w:style w:type="character" w:customStyle="1" w:styleId="228">
    <w:name w:val="Char Char17"/>
    <w:qFormat/>
    <w:uiPriority w:val="0"/>
    <w:rPr>
      <w:rFonts w:ascii="Arial" w:hAnsi="Arial" w:eastAsia="黑体;SimHei" w:cs="Arial"/>
      <w:b/>
      <w:sz w:val="32"/>
      <w:lang w:val="en-US" w:eastAsia="zh-CN"/>
    </w:rPr>
  </w:style>
  <w:style w:type="character" w:customStyle="1" w:styleId="229">
    <w:name w:val="Char Char4"/>
    <w:qFormat/>
    <w:uiPriority w:val="0"/>
    <w:rPr>
      <w:rFonts w:eastAsia="宋体;SimSun"/>
      <w:kern w:val="2"/>
      <w:sz w:val="24"/>
      <w:lang w:val="en-US" w:eastAsia="zh-CN"/>
    </w:rPr>
  </w:style>
  <w:style w:type="character" w:customStyle="1" w:styleId="230">
    <w:name w:val="Char Char6"/>
    <w:qFormat/>
    <w:uiPriority w:val="0"/>
    <w:rPr>
      <w:rFonts w:ascii="Arial" w:hAnsi="Arial" w:eastAsia="隶书" w:cs="Arial"/>
      <w:b/>
      <w:sz w:val="52"/>
      <w:lang w:val="en-US" w:eastAsia="zh-CN"/>
    </w:rPr>
  </w:style>
  <w:style w:type="character" w:customStyle="1" w:styleId="231">
    <w:name w:val="Char Char13"/>
    <w:qFormat/>
    <w:uiPriority w:val="0"/>
    <w:rPr>
      <w:rFonts w:ascii="Arial" w:hAnsi="Arial" w:eastAsia="黑体;SimHei" w:cs="Arial"/>
      <w:b/>
      <w:kern w:val="2"/>
      <w:sz w:val="24"/>
      <w:lang w:val="en-US" w:eastAsia="zh-CN"/>
    </w:rPr>
  </w:style>
  <w:style w:type="character" w:customStyle="1" w:styleId="232">
    <w:name w:val="副标题 Char"/>
    <w:qFormat/>
    <w:uiPriority w:val="0"/>
    <w:rPr>
      <w:rFonts w:ascii="Arial" w:hAnsi="Arial" w:eastAsia="黑体;SimHei" w:cs="Arial"/>
      <w:i/>
      <w:sz w:val="24"/>
    </w:rPr>
  </w:style>
  <w:style w:type="character" w:customStyle="1" w:styleId="233">
    <w:name w:val="表格1 Char"/>
    <w:qFormat/>
    <w:uiPriority w:val="0"/>
    <w:rPr>
      <w:sz w:val="21"/>
    </w:rPr>
  </w:style>
  <w:style w:type="character" w:customStyle="1" w:styleId="234">
    <w:name w:val="HTML 预设格式 Char"/>
    <w:qFormat/>
    <w:uiPriority w:val="0"/>
    <w:rPr>
      <w:rFonts w:ascii="宋体;SimSun" w:hAnsi="宋体;SimSun" w:cs="宋体;SimSun"/>
      <w:color w:val="000000"/>
      <w:sz w:val="21"/>
    </w:rPr>
  </w:style>
  <w:style w:type="character" w:customStyle="1" w:styleId="235">
    <w:name w:val="Char Char3"/>
    <w:qFormat/>
    <w:uiPriority w:val="0"/>
    <w:rPr>
      <w:rFonts w:eastAsia="宋体;SimSun"/>
      <w:sz w:val="24"/>
      <w:lang w:val="en-US" w:eastAsia="zh-CN"/>
    </w:rPr>
  </w:style>
  <w:style w:type="character" w:customStyle="1" w:styleId="236">
    <w:name w:val="正文文本缩进 3 Char"/>
    <w:qFormat/>
    <w:uiPriority w:val="0"/>
    <w:rPr>
      <w:rFonts w:eastAsia="楷体"/>
      <w:sz w:val="24"/>
    </w:rPr>
  </w:style>
  <w:style w:type="character" w:customStyle="1" w:styleId="237">
    <w:name w:val="正文文本缩进 Char"/>
    <w:qFormat/>
    <w:uiPriority w:val="0"/>
    <w:rPr>
      <w:rFonts w:ascii="宋体;SimSun" w:hAnsi="宋体;SimSun" w:cs="宋体;SimSun"/>
      <w:sz w:val="28"/>
    </w:rPr>
  </w:style>
  <w:style w:type="character" w:customStyle="1" w:styleId="238">
    <w:name w:val="日期 Char"/>
    <w:qFormat/>
    <w:uiPriority w:val="0"/>
    <w:rPr>
      <w:rFonts w:ascii="宋体;SimSun" w:hAnsi="宋体;SimSun" w:cs="宋体;SimSun"/>
      <w:sz w:val="28"/>
    </w:rPr>
  </w:style>
  <w:style w:type="character" w:customStyle="1" w:styleId="239">
    <w:name w:val="正文首行缩进 Char"/>
    <w:qFormat/>
    <w:uiPriority w:val="0"/>
    <w:rPr>
      <w:kern w:val="2"/>
      <w:sz w:val="24"/>
      <w:szCs w:val="24"/>
    </w:rPr>
  </w:style>
  <w:style w:type="character" w:customStyle="1" w:styleId="240">
    <w:name w:val="标题 Char"/>
    <w:qFormat/>
    <w:uiPriority w:val="0"/>
    <w:rPr>
      <w:rFonts w:ascii="Arial" w:hAnsi="Arial" w:cs="Arial"/>
      <w:b/>
      <w:bCs/>
      <w:sz w:val="32"/>
      <w:szCs w:val="32"/>
    </w:rPr>
  </w:style>
  <w:style w:type="character" w:customStyle="1" w:styleId="241">
    <w:name w:val="正文文本缩进 2 Char"/>
    <w:qFormat/>
    <w:uiPriority w:val="0"/>
    <w:rPr>
      <w:kern w:val="2"/>
      <w:sz w:val="21"/>
    </w:rPr>
  </w:style>
  <w:style w:type="character" w:customStyle="1" w:styleId="242">
    <w:name w:val="Anrede1IhrZeichen"/>
    <w:qFormat/>
    <w:uiPriority w:val="0"/>
    <w:rPr>
      <w:rFonts w:ascii="Arial" w:hAnsi="Arial" w:cs="Arial"/>
      <w:sz w:val="20"/>
    </w:rPr>
  </w:style>
  <w:style w:type="character" w:customStyle="1" w:styleId="243">
    <w:name w:val="正文文本 2 Char"/>
    <w:qFormat/>
    <w:uiPriority w:val="0"/>
    <w:rPr>
      <w:rFonts w:ascii="楷体_GB2312" w:hAnsi="楷体_GB2312" w:eastAsia="楷体_GB2312" w:cs="Garamond"/>
      <w:color w:val="FF0000"/>
      <w:sz w:val="24"/>
      <w:szCs w:val="24"/>
    </w:rPr>
  </w:style>
  <w:style w:type="character" w:customStyle="1" w:styleId="244">
    <w:name w:val="脚注文本 Char"/>
    <w:qFormat/>
    <w:uiPriority w:val="0"/>
    <w:rPr>
      <w:kern w:val="2"/>
      <w:sz w:val="18"/>
    </w:rPr>
  </w:style>
  <w:style w:type="character" w:customStyle="1" w:styleId="245">
    <w:name w:val="正文文本 3 Char"/>
    <w:qFormat/>
    <w:uiPriority w:val="0"/>
    <w:rPr>
      <w:kern w:val="2"/>
      <w:sz w:val="16"/>
      <w:szCs w:val="16"/>
    </w:rPr>
  </w:style>
  <w:style w:type="character" w:customStyle="1" w:styleId="246">
    <w:name w:val="Char Char9"/>
    <w:qFormat/>
    <w:uiPriority w:val="0"/>
    <w:rPr>
      <w:rFonts w:eastAsia="宋体;SimSun"/>
      <w:kern w:val="2"/>
      <w:sz w:val="18"/>
      <w:lang w:val="en-US" w:eastAsia="zh-CN"/>
    </w:rPr>
  </w:style>
  <w:style w:type="character" w:customStyle="1" w:styleId="247">
    <w:name w:val="Char Char Char"/>
    <w:qFormat/>
    <w:uiPriority w:val="0"/>
    <w:rPr>
      <w:rFonts w:ascii="Arial" w:hAnsi="Arial" w:eastAsia="宋体;SimSun" w:cs="Arial"/>
      <w:bCs/>
      <w:sz w:val="24"/>
      <w:szCs w:val="26"/>
      <w:lang w:val="en-US" w:eastAsia="zh-CN" w:bidi="ar-SA"/>
    </w:rPr>
  </w:style>
  <w:style w:type="character" w:customStyle="1" w:styleId="248">
    <w:name w:val="称呼 Char"/>
    <w:qFormat/>
    <w:uiPriority w:val="0"/>
    <w:rPr>
      <w:sz w:val="21"/>
    </w:rPr>
  </w:style>
  <w:style w:type="character" w:customStyle="1" w:styleId="249">
    <w:name w:val="Char Char12"/>
    <w:qFormat/>
    <w:uiPriority w:val="0"/>
    <w:rPr>
      <w:rFonts w:eastAsia="宋体;SimSun"/>
      <w:b/>
      <w:kern w:val="2"/>
      <w:sz w:val="24"/>
      <w:lang w:val="en-US" w:eastAsia="zh-CN"/>
    </w:rPr>
  </w:style>
  <w:style w:type="character" w:customStyle="1" w:styleId="250">
    <w:name w:val="Char Char15"/>
    <w:qFormat/>
    <w:uiPriority w:val="0"/>
    <w:rPr>
      <w:rFonts w:ascii="Arial" w:hAnsi="Arial" w:eastAsia="黑体;SimHei" w:cs="Arial"/>
      <w:b/>
      <w:kern w:val="2"/>
      <w:sz w:val="28"/>
      <w:lang w:val="en-US" w:eastAsia="zh-CN"/>
    </w:rPr>
  </w:style>
  <w:style w:type="character" w:customStyle="1" w:styleId="251">
    <w:name w:val="Char Char18"/>
    <w:qFormat/>
    <w:uiPriority w:val="0"/>
    <w:rPr>
      <w:rFonts w:eastAsia="宋体;SimSun"/>
      <w:b/>
      <w:kern w:val="2"/>
      <w:sz w:val="44"/>
      <w:lang w:val="en-US" w:eastAsia="zh-CN"/>
    </w:rPr>
  </w:style>
  <w:style w:type="character" w:customStyle="1" w:styleId="252">
    <w:name w:val="Salutation Char1"/>
    <w:qFormat/>
    <w:uiPriority w:val="0"/>
    <w:rPr>
      <w:rFonts w:ascii="Times New Roman" w:hAnsi="Times New Roman" w:eastAsia="宋体;SimSun" w:cs="Times New Roman"/>
      <w:kern w:val="2"/>
      <w:sz w:val="21"/>
      <w:szCs w:val="20"/>
    </w:rPr>
  </w:style>
  <w:style w:type="character" w:customStyle="1" w:styleId="253">
    <w:name w:val="Char Char5"/>
    <w:qFormat/>
    <w:uiPriority w:val="0"/>
    <w:rPr>
      <w:rFonts w:ascii="宋体;SimSun" w:hAnsi="宋体;SimSun" w:eastAsia="宋体;SimSun"/>
      <w:sz w:val="32"/>
      <w:lang w:val="en-US" w:eastAsia="zh-CN"/>
    </w:rPr>
  </w:style>
  <w:style w:type="character" w:customStyle="1" w:styleId="254">
    <w:name w:val="Char Char8"/>
    <w:qFormat/>
    <w:uiPriority w:val="0"/>
    <w:rPr>
      <w:rFonts w:eastAsia="宋体;SimSun"/>
      <w:kern w:val="2"/>
      <w:sz w:val="18"/>
      <w:lang w:val="en-US" w:eastAsia="zh-CN"/>
    </w:rPr>
  </w:style>
  <w:style w:type="character" w:customStyle="1" w:styleId="255">
    <w:name w:val="Char Char11"/>
    <w:qFormat/>
    <w:uiPriority w:val="0"/>
    <w:rPr>
      <w:rFonts w:ascii="Arial" w:hAnsi="Arial" w:eastAsia="黑体;SimHei" w:cs="Arial"/>
      <w:kern w:val="2"/>
      <w:sz w:val="24"/>
      <w:lang w:val="en-US" w:eastAsia="zh-CN"/>
    </w:rPr>
  </w:style>
  <w:style w:type="character" w:customStyle="1" w:styleId="256">
    <w:name w:val="Char Char14"/>
    <w:qFormat/>
    <w:uiPriority w:val="0"/>
    <w:rPr>
      <w:rFonts w:eastAsia="宋体;SimSun"/>
      <w:b/>
      <w:kern w:val="2"/>
      <w:sz w:val="28"/>
      <w:lang w:val="en-US" w:eastAsia="zh-CN"/>
    </w:rPr>
  </w:style>
  <w:style w:type="character" w:customStyle="1" w:styleId="257">
    <w:name w:val="Char Char10"/>
    <w:qFormat/>
    <w:uiPriority w:val="0"/>
    <w:rPr>
      <w:rFonts w:ascii="Arial" w:hAnsi="Arial" w:eastAsia="黑体;SimHei" w:cs="Arial"/>
      <w:kern w:val="2"/>
      <w:sz w:val="21"/>
      <w:lang w:val="en-US" w:eastAsia="zh-CN"/>
    </w:rPr>
  </w:style>
  <w:style w:type="character" w:customStyle="1" w:styleId="258">
    <w:name w:val="Char Char16"/>
    <w:qFormat/>
    <w:uiPriority w:val="0"/>
    <w:rPr>
      <w:rFonts w:eastAsia="宋体;SimSun"/>
      <w:b/>
      <w:sz w:val="32"/>
      <w:lang w:val="en-US" w:eastAsia="zh-CN"/>
    </w:rPr>
  </w:style>
  <w:style w:type="character" w:customStyle="1" w:styleId="259">
    <w:name w:val="Char Char7"/>
    <w:qFormat/>
    <w:uiPriority w:val="0"/>
    <w:rPr>
      <w:rFonts w:ascii="楷体_GB2312" w:hAnsi="楷体_GB2312" w:eastAsia="楷体_GB2312"/>
      <w:kern w:val="2"/>
      <w:sz w:val="32"/>
      <w:lang w:val="en-US" w:eastAsia="zh-CN"/>
    </w:rPr>
  </w:style>
  <w:style w:type="character" w:customStyle="1" w:styleId="260">
    <w:name w:val="standdate Char"/>
    <w:qFormat/>
    <w:uiPriority w:val="0"/>
    <w:rPr>
      <w:rFonts w:eastAsia="华文中宋"/>
      <w:b/>
      <w:spacing w:val="-4"/>
      <w:sz w:val="32"/>
    </w:rPr>
  </w:style>
  <w:style w:type="character" w:customStyle="1" w:styleId="261">
    <w:name w:val="正文文字2 Char"/>
    <w:qFormat/>
    <w:uiPriority w:val="0"/>
    <w:rPr>
      <w:rFonts w:ascii="Arial" w:hAnsi="Arial" w:eastAsia="黑体;SimHei" w:cs="Arial"/>
      <w:b/>
      <w:sz w:val="52"/>
    </w:rPr>
  </w:style>
  <w:style w:type="character" w:customStyle="1" w:styleId="262">
    <w:name w:val="表格3 Char"/>
    <w:qFormat/>
    <w:uiPriority w:val="0"/>
    <w:rPr>
      <w:sz w:val="21"/>
    </w:rPr>
  </w:style>
  <w:style w:type="character" w:customStyle="1" w:styleId="263">
    <w:name w:val="表格2 Char"/>
    <w:qFormat/>
    <w:uiPriority w:val="0"/>
    <w:rPr>
      <w:rFonts w:ascii="Arial" w:hAnsi="Arial" w:eastAsia="黑体;SimHei"/>
      <w:sz w:val="21"/>
    </w:rPr>
  </w:style>
  <w:style w:type="character" w:customStyle="1" w:styleId="264">
    <w:name w:val="结束语 Char"/>
    <w:qFormat/>
    <w:uiPriority w:val="0"/>
    <w:rPr>
      <w:kern w:val="2"/>
      <w:sz w:val="30"/>
    </w:rPr>
  </w:style>
  <w:style w:type="character" w:customStyle="1" w:styleId="265">
    <w:name w:val="标题 Char1"/>
    <w:qFormat/>
    <w:uiPriority w:val="0"/>
    <w:rPr>
      <w:rFonts w:ascii="Cambria" w:hAnsi="Cambria" w:cs="Times New Roman"/>
      <w:b/>
      <w:bCs/>
      <w:kern w:val="2"/>
      <w:sz w:val="32"/>
      <w:szCs w:val="32"/>
    </w:rPr>
  </w:style>
  <w:style w:type="character" w:customStyle="1" w:styleId="266">
    <w:name w:val="正文首行缩进 Char1"/>
    <w:qFormat/>
    <w:uiPriority w:val="0"/>
    <w:rPr>
      <w:rFonts w:ascii="仿宋体;宋体" w:hAnsi="仿宋体;宋体" w:eastAsia="仿宋体;宋体"/>
      <w:kern w:val="2"/>
      <w:sz w:val="21"/>
      <w:szCs w:val="24"/>
      <w:lang w:bidi="ar-SA"/>
    </w:rPr>
  </w:style>
  <w:style w:type="character" w:customStyle="1" w:styleId="267">
    <w:name w:val="HTML 预设格式 Char1"/>
    <w:qFormat/>
    <w:uiPriority w:val="0"/>
    <w:rPr>
      <w:rFonts w:ascii="Courier New" w:hAnsi="Courier New" w:cs="Courier New"/>
      <w:kern w:val="2"/>
    </w:rPr>
  </w:style>
  <w:style w:type="character" w:customStyle="1" w:styleId="268">
    <w:name w:val="正文文本 2 Char1"/>
    <w:qFormat/>
    <w:uiPriority w:val="0"/>
    <w:rPr>
      <w:kern w:val="2"/>
      <w:sz w:val="21"/>
      <w:szCs w:val="24"/>
    </w:rPr>
  </w:style>
  <w:style w:type="character" w:customStyle="1" w:styleId="269">
    <w:name w:val="正文文本缩进 3 Char1"/>
    <w:qFormat/>
    <w:uiPriority w:val="0"/>
    <w:rPr>
      <w:kern w:val="2"/>
      <w:sz w:val="16"/>
      <w:szCs w:val="16"/>
    </w:rPr>
  </w:style>
  <w:style w:type="character" w:customStyle="1" w:styleId="270">
    <w:name w:val="正文文本缩进 2 Char1"/>
    <w:qFormat/>
    <w:uiPriority w:val="0"/>
    <w:rPr>
      <w:kern w:val="2"/>
      <w:sz w:val="21"/>
      <w:szCs w:val="24"/>
    </w:rPr>
  </w:style>
  <w:style w:type="character" w:customStyle="1" w:styleId="271">
    <w:name w:val="脚注文本 Char1"/>
    <w:qFormat/>
    <w:uiPriority w:val="0"/>
    <w:rPr>
      <w:kern w:val="2"/>
      <w:sz w:val="18"/>
      <w:szCs w:val="18"/>
    </w:rPr>
  </w:style>
  <w:style w:type="character" w:customStyle="1" w:styleId="272">
    <w:name w:val="日期 Char1"/>
    <w:qFormat/>
    <w:uiPriority w:val="0"/>
    <w:rPr>
      <w:kern w:val="2"/>
      <w:sz w:val="21"/>
      <w:szCs w:val="24"/>
    </w:rPr>
  </w:style>
  <w:style w:type="character" w:customStyle="1" w:styleId="273">
    <w:name w:val="正文文本缩进 Char1"/>
    <w:qFormat/>
    <w:uiPriority w:val="0"/>
    <w:rPr>
      <w:kern w:val="2"/>
      <w:sz w:val="21"/>
      <w:szCs w:val="24"/>
    </w:rPr>
  </w:style>
  <w:style w:type="character" w:customStyle="1" w:styleId="274">
    <w:name w:val="结束语 Char1"/>
    <w:qFormat/>
    <w:uiPriority w:val="0"/>
    <w:rPr>
      <w:kern w:val="2"/>
      <w:sz w:val="21"/>
      <w:szCs w:val="24"/>
    </w:rPr>
  </w:style>
  <w:style w:type="character" w:customStyle="1" w:styleId="275">
    <w:name w:val="称呼 Char1"/>
    <w:qFormat/>
    <w:uiPriority w:val="0"/>
    <w:rPr>
      <w:kern w:val="2"/>
      <w:sz w:val="21"/>
      <w:szCs w:val="24"/>
    </w:rPr>
  </w:style>
  <w:style w:type="character" w:customStyle="1" w:styleId="276">
    <w:name w:val="副标题 Char1"/>
    <w:qFormat/>
    <w:uiPriority w:val="0"/>
    <w:rPr>
      <w:rFonts w:ascii="Cambria" w:hAnsi="Cambria" w:cs="Times New Roman"/>
      <w:b/>
      <w:bCs/>
      <w:kern w:val="2"/>
      <w:sz w:val="32"/>
      <w:szCs w:val="32"/>
    </w:rPr>
  </w:style>
  <w:style w:type="character" w:customStyle="1" w:styleId="277">
    <w:name w:val="正文文本 3 Char1"/>
    <w:qFormat/>
    <w:uiPriority w:val="0"/>
    <w:rPr>
      <w:kern w:val="2"/>
      <w:sz w:val="16"/>
      <w:szCs w:val="16"/>
    </w:rPr>
  </w:style>
  <w:style w:type="character" w:customStyle="1" w:styleId="278">
    <w:name w:val="标题 1 Char Char2"/>
    <w:qFormat/>
    <w:uiPriority w:val="0"/>
    <w:rPr>
      <w:rFonts w:ascii="宋体;SimSun" w:hAnsi="宋体;SimSun"/>
    </w:rPr>
  </w:style>
  <w:style w:type="character" w:customStyle="1" w:styleId="279">
    <w:name w:val="Char Char1"/>
    <w:qFormat/>
    <w:uiPriority w:val="0"/>
    <w:rPr>
      <w:rFonts w:eastAsia="宋体;SimSun"/>
      <w:kern w:val="2"/>
      <w:sz w:val="18"/>
      <w:szCs w:val="18"/>
      <w:lang w:val="en-US" w:eastAsia="zh-CN" w:bidi="ar-SA"/>
    </w:rPr>
  </w:style>
  <w:style w:type="character" w:customStyle="1" w:styleId="280">
    <w:name w:val="grame"/>
    <w:basedOn w:val="32"/>
    <w:qFormat/>
    <w:uiPriority w:val="0"/>
  </w:style>
  <w:style w:type="character" w:customStyle="1" w:styleId="281">
    <w:name w:val="纯文本 Char1"/>
    <w:qFormat/>
    <w:uiPriority w:val="0"/>
    <w:rPr>
      <w:rFonts w:ascii="宋体;SimSun" w:hAnsi="宋体;SimSun" w:cs="Courier New"/>
      <w:kern w:val="2"/>
      <w:sz w:val="21"/>
      <w:szCs w:val="21"/>
    </w:rPr>
  </w:style>
  <w:style w:type="character" w:customStyle="1" w:styleId="282">
    <w:name w:val="页脚 Char1"/>
    <w:qFormat/>
    <w:uiPriority w:val="0"/>
    <w:rPr>
      <w:rFonts w:ascii="Times New Roman" w:hAnsi="Times New Roman" w:cs="Times New Roman"/>
      <w:kern w:val="2"/>
      <w:sz w:val="18"/>
      <w:szCs w:val="18"/>
    </w:rPr>
  </w:style>
  <w:style w:type="character" w:customStyle="1" w:styleId="283">
    <w:name w:val="正文文本 Char1"/>
    <w:qFormat/>
    <w:uiPriority w:val="0"/>
    <w:rPr>
      <w:rFonts w:ascii="Times New Roman" w:hAnsi="Times New Roman" w:cs="Times New Roman"/>
      <w:kern w:val="2"/>
      <w:sz w:val="21"/>
      <w:szCs w:val="24"/>
    </w:rPr>
  </w:style>
  <w:style w:type="character" w:customStyle="1" w:styleId="284">
    <w:name w:val="页眉 Char1"/>
    <w:qFormat/>
    <w:uiPriority w:val="0"/>
    <w:rPr>
      <w:rFonts w:ascii="Times New Roman" w:hAnsi="Times New Roman" w:cs="Times New Roman"/>
      <w:kern w:val="2"/>
      <w:sz w:val="18"/>
      <w:szCs w:val="18"/>
    </w:rPr>
  </w:style>
  <w:style w:type="character" w:customStyle="1" w:styleId="285">
    <w:name w:val="标题 1 字符"/>
    <w:qFormat/>
    <w:uiPriority w:val="0"/>
    <w:rPr>
      <w:rFonts w:ascii="Times New Roman" w:hAnsi="Times New Roman" w:eastAsia="宋体;SimSun" w:cs="Times New Roman"/>
      <w:b/>
      <w:kern w:val="2"/>
      <w:sz w:val="44"/>
      <w:szCs w:val="20"/>
    </w:rPr>
  </w:style>
  <w:style w:type="character" w:customStyle="1" w:styleId="286">
    <w:name w:val="标题 2 字符"/>
    <w:qFormat/>
    <w:uiPriority w:val="0"/>
    <w:rPr>
      <w:rFonts w:ascii="Arial" w:hAnsi="Arial" w:eastAsia="黑体;SimHei" w:cs="Times New Roman"/>
      <w:b/>
      <w:kern w:val="2"/>
      <w:sz w:val="32"/>
      <w:szCs w:val="20"/>
    </w:rPr>
  </w:style>
  <w:style w:type="character" w:customStyle="1" w:styleId="287">
    <w:name w:val="标题 3 字符"/>
    <w:qFormat/>
    <w:uiPriority w:val="0"/>
    <w:rPr>
      <w:rFonts w:ascii="Times New Roman" w:hAnsi="Times New Roman" w:eastAsia="宋体;SimSun" w:cs="Times New Roman"/>
      <w:b/>
      <w:sz w:val="32"/>
      <w:szCs w:val="20"/>
    </w:rPr>
  </w:style>
  <w:style w:type="character" w:customStyle="1" w:styleId="288">
    <w:name w:val="标题 4 字符"/>
    <w:qFormat/>
    <w:uiPriority w:val="0"/>
    <w:rPr>
      <w:rFonts w:ascii="Arial" w:hAnsi="Arial" w:eastAsia="黑体;SimHei" w:cs="Times New Roman"/>
      <w:b/>
      <w:kern w:val="2"/>
      <w:sz w:val="28"/>
      <w:szCs w:val="20"/>
    </w:rPr>
  </w:style>
  <w:style w:type="character" w:customStyle="1" w:styleId="289">
    <w:name w:val="标题 5 字符"/>
    <w:qFormat/>
    <w:uiPriority w:val="0"/>
    <w:rPr>
      <w:rFonts w:ascii="Times New Roman" w:hAnsi="Times New Roman" w:eastAsia="宋体;SimSun" w:cs="Times New Roman"/>
      <w:b/>
      <w:kern w:val="2"/>
      <w:sz w:val="28"/>
      <w:szCs w:val="20"/>
    </w:rPr>
  </w:style>
  <w:style w:type="character" w:customStyle="1" w:styleId="290">
    <w:name w:val="标题 6 字符"/>
    <w:qFormat/>
    <w:uiPriority w:val="0"/>
    <w:rPr>
      <w:rFonts w:ascii="Arial" w:hAnsi="Arial" w:eastAsia="黑体;SimHei" w:cs="Times New Roman"/>
      <w:b/>
      <w:kern w:val="2"/>
      <w:sz w:val="24"/>
      <w:szCs w:val="20"/>
    </w:rPr>
  </w:style>
  <w:style w:type="character" w:customStyle="1" w:styleId="291">
    <w:name w:val="标题 7 字符"/>
    <w:qFormat/>
    <w:uiPriority w:val="0"/>
    <w:rPr>
      <w:rFonts w:ascii="Times New Roman" w:hAnsi="Times New Roman" w:eastAsia="宋体;SimSun" w:cs="Times New Roman"/>
      <w:b/>
      <w:kern w:val="2"/>
      <w:sz w:val="24"/>
      <w:szCs w:val="20"/>
    </w:rPr>
  </w:style>
  <w:style w:type="character" w:customStyle="1" w:styleId="292">
    <w:name w:val="标题 8 字符"/>
    <w:qFormat/>
    <w:uiPriority w:val="0"/>
    <w:rPr>
      <w:rFonts w:ascii="Arial" w:hAnsi="Arial" w:eastAsia="黑体;SimHei" w:cs="Times New Roman"/>
      <w:kern w:val="2"/>
      <w:sz w:val="24"/>
      <w:szCs w:val="20"/>
    </w:rPr>
  </w:style>
  <w:style w:type="character" w:customStyle="1" w:styleId="293">
    <w:name w:val="标题 9 字符"/>
    <w:qFormat/>
    <w:uiPriority w:val="0"/>
    <w:rPr>
      <w:rFonts w:ascii="Arial" w:hAnsi="Arial" w:eastAsia="黑体;SimHei" w:cs="Times New Roman"/>
      <w:kern w:val="2"/>
      <w:sz w:val="21"/>
      <w:szCs w:val="20"/>
    </w:rPr>
  </w:style>
  <w:style w:type="character" w:customStyle="1" w:styleId="294">
    <w:name w:val="正文缩进 字符"/>
    <w:qFormat/>
    <w:uiPriority w:val="0"/>
    <w:rPr>
      <w:rFonts w:ascii="Times New Roman" w:hAnsi="Times New Roman" w:eastAsia="宋体;SimSun" w:cs="Times New Roman"/>
      <w:kern w:val="2"/>
      <w:sz w:val="21"/>
      <w:szCs w:val="20"/>
    </w:rPr>
  </w:style>
  <w:style w:type="character" w:customStyle="1" w:styleId="295">
    <w:name w:val="正文文本缩进 3 字符"/>
    <w:qFormat/>
    <w:uiPriority w:val="0"/>
    <w:rPr>
      <w:rFonts w:ascii="Times New Roman" w:hAnsi="Times New Roman" w:eastAsia="楷体" w:cs="Times New Roman"/>
      <w:sz w:val="24"/>
      <w:szCs w:val="20"/>
    </w:rPr>
  </w:style>
  <w:style w:type="character" w:customStyle="1" w:styleId="296">
    <w:name w:val="正文文本缩进 字符"/>
    <w:qFormat/>
    <w:uiPriority w:val="0"/>
    <w:rPr>
      <w:rFonts w:ascii="宋体;SimSun" w:hAnsi="宋体;SimSun" w:eastAsia="宋体;SimSun" w:cs="Times New Roman"/>
      <w:sz w:val="28"/>
      <w:szCs w:val="20"/>
    </w:rPr>
  </w:style>
  <w:style w:type="character" w:customStyle="1" w:styleId="297">
    <w:name w:val="日期 字符"/>
    <w:qFormat/>
    <w:uiPriority w:val="0"/>
    <w:rPr>
      <w:rFonts w:ascii="宋体;SimSun" w:hAnsi="宋体;SimSun" w:eastAsia="宋体;SimSun" w:cs="Times New Roman"/>
      <w:sz w:val="28"/>
      <w:szCs w:val="20"/>
    </w:rPr>
  </w:style>
  <w:style w:type="character" w:customStyle="1" w:styleId="298">
    <w:name w:val="纯文本 字符"/>
    <w:qFormat/>
    <w:uiPriority w:val="0"/>
    <w:rPr>
      <w:rFonts w:ascii="宋体;SimSun" w:hAnsi="宋体;SimSun" w:eastAsia="宋体;SimSun" w:cs="Times New Roman"/>
      <w:kern w:val="2"/>
      <w:sz w:val="21"/>
      <w:szCs w:val="20"/>
    </w:rPr>
  </w:style>
  <w:style w:type="character" w:customStyle="1" w:styleId="299">
    <w:name w:val="页脚 字符"/>
    <w:qFormat/>
    <w:uiPriority w:val="0"/>
    <w:rPr>
      <w:rFonts w:ascii="Times New Roman" w:hAnsi="Times New Roman" w:eastAsia="宋体;SimSun" w:cs="Times New Roman"/>
      <w:kern w:val="2"/>
      <w:sz w:val="18"/>
      <w:szCs w:val="20"/>
    </w:rPr>
  </w:style>
  <w:style w:type="character" w:customStyle="1" w:styleId="300">
    <w:name w:val="页眉 字符"/>
    <w:qFormat/>
    <w:uiPriority w:val="0"/>
    <w:rPr>
      <w:rFonts w:ascii="Times New Roman" w:hAnsi="Times New Roman" w:eastAsia="宋体;SimSun" w:cs="Times New Roman"/>
      <w:kern w:val="2"/>
      <w:sz w:val="18"/>
      <w:szCs w:val="20"/>
    </w:rPr>
  </w:style>
  <w:style w:type="character" w:customStyle="1" w:styleId="301">
    <w:name w:val="正文文本缩进 2 字符"/>
    <w:qFormat/>
    <w:uiPriority w:val="0"/>
    <w:rPr>
      <w:rFonts w:ascii="Times New Roman" w:hAnsi="Times New Roman" w:eastAsia="宋体;SimSun" w:cs="Times New Roman"/>
      <w:kern w:val="2"/>
      <w:sz w:val="21"/>
      <w:szCs w:val="20"/>
    </w:rPr>
  </w:style>
  <w:style w:type="character" w:customStyle="1" w:styleId="302">
    <w:name w:val="正文文本 2 字符"/>
    <w:qFormat/>
    <w:uiPriority w:val="0"/>
    <w:rPr>
      <w:rFonts w:ascii="楷体_GB2312" w:hAnsi="楷体_GB2312" w:eastAsia="楷体_GB2312" w:cs="Times New Roman"/>
      <w:color w:val="FF0000"/>
      <w:sz w:val="24"/>
      <w:szCs w:val="24"/>
    </w:rPr>
  </w:style>
  <w:style w:type="character" w:customStyle="1" w:styleId="303">
    <w:name w:val="正文文本 3 字符"/>
    <w:qFormat/>
    <w:uiPriority w:val="0"/>
    <w:rPr>
      <w:rFonts w:ascii="Times New Roman" w:hAnsi="Times New Roman" w:eastAsia="宋体;SimSun" w:cs="Times New Roman"/>
      <w:kern w:val="2"/>
      <w:sz w:val="16"/>
      <w:szCs w:val="16"/>
    </w:rPr>
  </w:style>
  <w:style w:type="character" w:customStyle="1" w:styleId="304">
    <w:name w:val="正文文本 字符"/>
    <w:qFormat/>
    <w:uiPriority w:val="0"/>
    <w:rPr>
      <w:rFonts w:ascii="Times New Roman" w:hAnsi="Times New Roman" w:eastAsia="宋体;SimSun" w:cs="Times New Roman"/>
      <w:kern w:val="2"/>
      <w:sz w:val="21"/>
      <w:szCs w:val="20"/>
    </w:rPr>
  </w:style>
  <w:style w:type="character" w:customStyle="1" w:styleId="305">
    <w:name w:val="正文首行缩进 字符"/>
    <w:qFormat/>
    <w:uiPriority w:val="0"/>
    <w:rPr>
      <w:rFonts w:ascii="Times New Roman" w:hAnsi="Times New Roman" w:eastAsia="宋体;SimSun" w:cs="Times New Roman"/>
      <w:kern w:val="2"/>
      <w:sz w:val="24"/>
      <w:szCs w:val="24"/>
    </w:rPr>
  </w:style>
  <w:style w:type="character" w:customStyle="1" w:styleId="306">
    <w:name w:val="标题 字符"/>
    <w:qFormat/>
    <w:uiPriority w:val="0"/>
    <w:rPr>
      <w:rFonts w:ascii="Arial" w:hAnsi="Arial" w:eastAsia="宋体;SimSun" w:cs="Arial"/>
      <w:b/>
      <w:bCs/>
      <w:sz w:val="32"/>
      <w:szCs w:val="32"/>
    </w:rPr>
  </w:style>
  <w:style w:type="character" w:customStyle="1" w:styleId="307">
    <w:name w:val="脚注文本 字符"/>
    <w:qFormat/>
    <w:uiPriority w:val="0"/>
    <w:rPr>
      <w:rFonts w:ascii="Times New Roman" w:hAnsi="Times New Roman" w:eastAsia="宋体;SimSun" w:cs="Times New Roman"/>
      <w:kern w:val="2"/>
      <w:sz w:val="18"/>
      <w:szCs w:val="20"/>
    </w:rPr>
  </w:style>
  <w:style w:type="character" w:customStyle="1" w:styleId="308">
    <w:name w:val="称呼 字符"/>
    <w:qFormat/>
    <w:uiPriority w:val="0"/>
    <w:rPr>
      <w:sz w:val="21"/>
    </w:rPr>
  </w:style>
  <w:style w:type="character" w:customStyle="1" w:styleId="309">
    <w:name w:val="HTML 预设格式 字符"/>
    <w:qFormat/>
    <w:uiPriority w:val="0"/>
    <w:rPr>
      <w:rFonts w:ascii="宋体;SimSun" w:hAnsi="宋体;SimSun" w:eastAsia="宋体;SimSun" w:cs="Times New Roman"/>
      <w:color w:val="000000"/>
      <w:sz w:val="21"/>
      <w:szCs w:val="20"/>
    </w:rPr>
  </w:style>
  <w:style w:type="character" w:customStyle="1" w:styleId="310">
    <w:name w:val="副标题 字符"/>
    <w:qFormat/>
    <w:uiPriority w:val="0"/>
    <w:rPr>
      <w:rFonts w:ascii="Arial" w:hAnsi="Arial" w:eastAsia="黑体;SimHei" w:cs="Times New Roman"/>
      <w:i/>
      <w:sz w:val="24"/>
      <w:szCs w:val="20"/>
    </w:rPr>
  </w:style>
  <w:style w:type="character" w:customStyle="1" w:styleId="311">
    <w:name w:val="结束语 字符"/>
    <w:qFormat/>
    <w:uiPriority w:val="0"/>
    <w:rPr>
      <w:rFonts w:ascii="Times New Roman" w:hAnsi="Times New Roman" w:eastAsia="宋体;SimSun" w:cs="Times New Roman"/>
      <w:kern w:val="2"/>
      <w:sz w:val="30"/>
      <w:szCs w:val="20"/>
    </w:rPr>
  </w:style>
  <w:style w:type="paragraph" w:customStyle="1" w:styleId="312">
    <w:name w:val="Heading"/>
    <w:basedOn w:val="1"/>
    <w:next w:val="11"/>
    <w:qFormat/>
    <w:uiPriority w:val="0"/>
    <w:pPr>
      <w:widowControl/>
      <w:spacing w:before="240" w:after="60"/>
      <w:jc w:val="center"/>
      <w:outlineLvl w:val="0"/>
    </w:pPr>
    <w:rPr>
      <w:rFonts w:ascii="Arial" w:hAnsi="Arial" w:cs="Arial"/>
      <w:b/>
      <w:bCs/>
      <w:kern w:val="0"/>
      <w:sz w:val="32"/>
      <w:szCs w:val="32"/>
    </w:rPr>
  </w:style>
  <w:style w:type="paragraph" w:customStyle="1" w:styleId="313">
    <w:name w:val="Caption"/>
    <w:basedOn w:val="1"/>
    <w:qFormat/>
    <w:uiPriority w:val="0"/>
    <w:pPr>
      <w:suppressLineNumbers/>
      <w:spacing w:before="120" w:after="120"/>
    </w:pPr>
    <w:rPr>
      <w:rFonts w:cs="DejaVu Sans"/>
      <w:i/>
      <w:iCs/>
      <w:sz w:val="24"/>
    </w:rPr>
  </w:style>
  <w:style w:type="paragraph" w:customStyle="1" w:styleId="314">
    <w:name w:val="Index"/>
    <w:basedOn w:val="1"/>
    <w:qFormat/>
    <w:uiPriority w:val="0"/>
    <w:pPr>
      <w:suppressLineNumbers/>
    </w:pPr>
    <w:rPr>
      <w:rFonts w:cs="DejaVu Sans"/>
    </w:rPr>
  </w:style>
  <w:style w:type="paragraph" w:customStyle="1" w:styleId="315">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316">
    <w:name w:val="Footer"/>
    <w:basedOn w:val="1"/>
    <w:qFormat/>
    <w:uiPriority w:val="0"/>
    <w:pPr>
      <w:tabs>
        <w:tab w:val="center" w:pos="4153"/>
        <w:tab w:val="right" w:pos="8306"/>
      </w:tabs>
      <w:snapToGrid w:val="0"/>
      <w:jc w:val="left"/>
    </w:pPr>
    <w:rPr>
      <w:sz w:val="18"/>
      <w:szCs w:val="18"/>
    </w:rPr>
  </w:style>
  <w:style w:type="paragraph" w:customStyle="1" w:styleId="317">
    <w:name w:val="Char Char1 Char Char Char Char Char Char Char Char Char Char Char Char Char Char Char"/>
    <w:basedOn w:val="1"/>
    <w:qFormat/>
    <w:uiPriority w:val="0"/>
    <w:pPr>
      <w:widowControl/>
      <w:spacing w:after="160" w:line="240" w:lineRule="exact"/>
      <w:jc w:val="left"/>
    </w:pPr>
    <w:rPr>
      <w:rFonts w:ascii="Verdana" w:hAnsi="Verdana" w:cs="Verdana"/>
      <w:kern w:val="0"/>
      <w:sz w:val="20"/>
      <w:szCs w:val="20"/>
    </w:rPr>
  </w:style>
  <w:style w:type="paragraph" w:customStyle="1" w:styleId="318">
    <w:name w:val="p0"/>
    <w:basedOn w:val="1"/>
    <w:qFormat/>
    <w:uiPriority w:val="0"/>
    <w:pPr>
      <w:widowControl/>
      <w:spacing w:before="280" w:after="280"/>
      <w:jc w:val="left"/>
    </w:pPr>
    <w:rPr>
      <w:rFonts w:ascii="宋体;SimSun" w:hAnsi="宋体;SimSun" w:cs="宋体;SimSun"/>
      <w:kern w:val="0"/>
      <w:sz w:val="24"/>
    </w:rPr>
  </w:style>
  <w:style w:type="paragraph" w:customStyle="1" w:styleId="319">
    <w:name w:val="Char1 Char Char Char Char Char Char Char Char1 Char Char"/>
    <w:basedOn w:val="1"/>
    <w:qFormat/>
    <w:uiPriority w:val="0"/>
    <w:rPr>
      <w:b/>
      <w:bCs/>
      <w:sz w:val="36"/>
      <w:szCs w:val="32"/>
    </w:rPr>
  </w:style>
  <w:style w:type="paragraph" w:customStyle="1" w:styleId="320">
    <w:name w:val="样式3"/>
    <w:basedOn w:val="14"/>
    <w:qFormat/>
    <w:uiPriority w:val="0"/>
    <w:pPr>
      <w:outlineLvl w:val="0"/>
    </w:pPr>
    <w:rPr>
      <w:sz w:val="28"/>
    </w:rPr>
  </w:style>
  <w:style w:type="paragraph" w:customStyle="1" w:styleId="321">
    <w:name w:val="列出段落1"/>
    <w:basedOn w:val="1"/>
    <w:qFormat/>
    <w:uiPriority w:val="0"/>
    <w:pPr>
      <w:widowControl/>
      <w:spacing w:after="200" w:line="276" w:lineRule="auto"/>
      <w:ind w:firstLine="420"/>
      <w:jc w:val="left"/>
    </w:pPr>
    <w:rPr>
      <w:rFonts w:ascii="宋体;SimSun" w:hAnsi="宋体;SimSun" w:cs="宋体;SimSun"/>
      <w:kern w:val="0"/>
      <w:sz w:val="22"/>
      <w:szCs w:val="22"/>
    </w:rPr>
  </w:style>
  <w:style w:type="paragraph" w:customStyle="1" w:styleId="322">
    <w:name w:val="表格1"/>
    <w:basedOn w:val="1"/>
    <w:qFormat/>
    <w:uiPriority w:val="0"/>
    <w:pPr>
      <w:tabs>
        <w:tab w:val="left" w:pos="720"/>
      </w:tabs>
      <w:spacing w:after="60" w:line="360" w:lineRule="atLeast"/>
      <w:ind w:left="72" w:right="72"/>
      <w:jc w:val="center"/>
      <w:textAlignment w:val="baseline"/>
    </w:pPr>
    <w:rPr>
      <w:kern w:val="0"/>
      <w:szCs w:val="20"/>
    </w:rPr>
  </w:style>
  <w:style w:type="paragraph" w:customStyle="1" w:styleId="323">
    <w:name w:val="Footnote Text"/>
    <w:basedOn w:val="1"/>
    <w:qFormat/>
    <w:uiPriority w:val="0"/>
    <w:pPr>
      <w:snapToGrid w:val="0"/>
      <w:jc w:val="left"/>
    </w:pPr>
    <w:rPr>
      <w:sz w:val="18"/>
      <w:szCs w:val="20"/>
    </w:rPr>
  </w:style>
  <w:style w:type="paragraph" w:customStyle="1" w:styleId="324">
    <w:name w:val="standdate"/>
    <w:basedOn w:val="316"/>
    <w:qFormat/>
    <w:uiPriority w:val="0"/>
    <w:pPr>
      <w:tabs>
        <w:tab w:val="clear" w:pos="4153"/>
        <w:tab w:val="clear" w:pos="8306"/>
      </w:tabs>
      <w:snapToGrid/>
      <w:spacing w:line="340" w:lineRule="atLeast"/>
      <w:ind w:left="255" w:right="255"/>
      <w:jc w:val="center"/>
      <w:textAlignment w:val="center"/>
    </w:pPr>
    <w:rPr>
      <w:rFonts w:eastAsia="华文中宋"/>
      <w:b/>
      <w:spacing w:val="-4"/>
      <w:kern w:val="0"/>
      <w:sz w:val="32"/>
      <w:szCs w:val="20"/>
    </w:rPr>
  </w:style>
  <w:style w:type="paragraph" w:customStyle="1" w:styleId="325">
    <w:name w:val="正文文字2"/>
    <w:basedOn w:val="11"/>
    <w:qFormat/>
    <w:uiPriority w:val="0"/>
    <w:pPr>
      <w:widowControl w:val="0"/>
      <w:spacing w:after="60" w:line="360" w:lineRule="atLeast"/>
      <w:ind w:left="72" w:right="72"/>
      <w:jc w:val="center"/>
      <w:textAlignment w:val="baseline"/>
    </w:pPr>
    <w:rPr>
      <w:rFonts w:ascii="Arial" w:hAnsi="Arial" w:eastAsia="黑体;SimHei" w:cs="Arial"/>
      <w:b/>
      <w:sz w:val="52"/>
    </w:rPr>
  </w:style>
  <w:style w:type="paragraph" w:customStyle="1" w:styleId="326">
    <w:name w:val="表格3"/>
    <w:basedOn w:val="1"/>
    <w:qFormat/>
    <w:uiPriority w:val="0"/>
    <w:pPr>
      <w:spacing w:line="360" w:lineRule="atLeast"/>
      <w:ind w:left="72" w:right="72"/>
      <w:textAlignment w:val="baseline"/>
    </w:pPr>
    <w:rPr>
      <w:kern w:val="0"/>
      <w:szCs w:val="20"/>
    </w:rPr>
  </w:style>
  <w:style w:type="paragraph" w:customStyle="1" w:styleId="327">
    <w:name w:val="表格2"/>
    <w:basedOn w:val="1"/>
    <w:qFormat/>
    <w:uiPriority w:val="0"/>
    <w:pPr>
      <w:spacing w:after="60" w:line="360" w:lineRule="atLeast"/>
      <w:ind w:left="72" w:right="72"/>
      <w:jc w:val="center"/>
      <w:textAlignment w:val="baseline"/>
    </w:pPr>
    <w:rPr>
      <w:rFonts w:ascii="Arial" w:hAnsi="Arial" w:eastAsia="黑体;SimHei"/>
      <w:kern w:val="0"/>
      <w:szCs w:val="20"/>
    </w:rPr>
  </w:style>
  <w:style w:type="paragraph" w:customStyle="1" w:styleId="328">
    <w:name w:val="TOC 4"/>
    <w:basedOn w:val="1"/>
    <w:next w:val="1"/>
    <w:qFormat/>
    <w:uiPriority w:val="0"/>
    <w:pPr>
      <w:ind w:left="1260"/>
    </w:pPr>
    <w:rPr>
      <w:szCs w:val="20"/>
    </w:rPr>
  </w:style>
  <w:style w:type="paragraph" w:customStyle="1" w:styleId="329">
    <w:name w:val="TOC 5"/>
    <w:basedOn w:val="1"/>
    <w:next w:val="1"/>
    <w:qFormat/>
    <w:uiPriority w:val="0"/>
    <w:pPr>
      <w:ind w:left="1680"/>
    </w:pPr>
    <w:rPr>
      <w:szCs w:val="20"/>
    </w:rPr>
  </w:style>
  <w:style w:type="paragraph" w:customStyle="1" w:styleId="330">
    <w:name w:val="TOC 7"/>
    <w:basedOn w:val="1"/>
    <w:next w:val="1"/>
    <w:qFormat/>
    <w:uiPriority w:val="0"/>
    <w:pPr>
      <w:ind w:left="2520"/>
    </w:pPr>
    <w:rPr>
      <w:szCs w:val="20"/>
    </w:rPr>
  </w:style>
  <w:style w:type="paragraph" w:customStyle="1" w:styleId="331">
    <w:name w:val="TOC 9"/>
    <w:basedOn w:val="1"/>
    <w:next w:val="1"/>
    <w:qFormat/>
    <w:uiPriority w:val="0"/>
    <w:pPr>
      <w:ind w:left="3360"/>
    </w:pPr>
    <w:rPr>
      <w:szCs w:val="20"/>
    </w:rPr>
  </w:style>
  <w:style w:type="paragraph" w:customStyle="1" w:styleId="332">
    <w:name w:val="TOC 1"/>
    <w:basedOn w:val="1"/>
    <w:next w:val="1"/>
    <w:qFormat/>
    <w:uiPriority w:val="0"/>
    <w:pPr>
      <w:tabs>
        <w:tab w:val="left" w:pos="1260"/>
        <w:tab w:val="right" w:leader="dot" w:pos="9060"/>
      </w:tabs>
    </w:pPr>
    <w:rPr>
      <w:rFonts w:ascii="宋体;SimSun" w:hAnsi="宋体;SimSun" w:cs="宋体;SimSun"/>
      <w:sz w:val="32"/>
      <w:szCs w:val="44"/>
      <w:lang w:eastAsia="en-US"/>
    </w:rPr>
  </w:style>
  <w:style w:type="paragraph" w:customStyle="1" w:styleId="333">
    <w:name w:val="Index 1"/>
    <w:basedOn w:val="1"/>
    <w:next w:val="1"/>
    <w:qFormat/>
    <w:uiPriority w:val="0"/>
    <w:pPr>
      <w:spacing w:line="312" w:lineRule="atLeast"/>
      <w:textAlignment w:val="baseline"/>
    </w:pPr>
    <w:rPr>
      <w:kern w:val="0"/>
      <w:szCs w:val="20"/>
    </w:rPr>
  </w:style>
  <w:style w:type="paragraph" w:customStyle="1" w:styleId="334">
    <w:name w:val="TOC 2"/>
    <w:basedOn w:val="1"/>
    <w:next w:val="1"/>
    <w:qFormat/>
    <w:uiPriority w:val="0"/>
    <w:pPr>
      <w:ind w:left="420"/>
    </w:pPr>
    <w:rPr>
      <w:szCs w:val="20"/>
    </w:rPr>
  </w:style>
  <w:style w:type="paragraph" w:customStyle="1" w:styleId="335">
    <w:name w:val="TOC 8"/>
    <w:basedOn w:val="1"/>
    <w:next w:val="1"/>
    <w:qFormat/>
    <w:uiPriority w:val="0"/>
    <w:pPr>
      <w:ind w:left="2940"/>
    </w:pPr>
    <w:rPr>
      <w:szCs w:val="20"/>
    </w:rPr>
  </w:style>
  <w:style w:type="paragraph" w:customStyle="1" w:styleId="336">
    <w:name w:val="TOC 6"/>
    <w:basedOn w:val="1"/>
    <w:next w:val="1"/>
    <w:qFormat/>
    <w:uiPriority w:val="0"/>
    <w:pPr>
      <w:tabs>
        <w:tab w:val="right" w:leader="dot" w:pos="8302"/>
      </w:tabs>
      <w:spacing w:line="360" w:lineRule="auto"/>
      <w:ind w:left="480"/>
    </w:pPr>
    <w:rPr>
      <w:sz w:val="24"/>
      <w:szCs w:val="20"/>
      <w:lang w:eastAsia="en-US"/>
    </w:rPr>
  </w:style>
  <w:style w:type="paragraph" w:customStyle="1" w:styleId="337">
    <w:name w:val="TOC 3"/>
    <w:basedOn w:val="1"/>
    <w:next w:val="1"/>
    <w:qFormat/>
    <w:uiPriority w:val="0"/>
    <w:pPr>
      <w:ind w:left="840"/>
    </w:pPr>
    <w:rPr>
      <w:szCs w:val="20"/>
    </w:rPr>
  </w:style>
  <w:style w:type="paragraph" w:customStyle="1" w:styleId="338">
    <w:name w:val="文档正文"/>
    <w:basedOn w:val="1"/>
    <w:qFormat/>
    <w:uiPriority w:val="0"/>
    <w:pPr>
      <w:spacing w:line="312" w:lineRule="atLeast"/>
      <w:ind w:firstLine="567"/>
      <w:textAlignment w:val="baseline"/>
    </w:pPr>
    <w:rPr>
      <w:kern w:val="0"/>
      <w:sz w:val="28"/>
      <w:szCs w:val="20"/>
    </w:rPr>
  </w:style>
  <w:style w:type="paragraph" w:customStyle="1" w:styleId="339">
    <w:name w:val="图文"/>
    <w:basedOn w:val="1"/>
    <w:qFormat/>
    <w:uiPriority w:val="0"/>
    <w:pPr>
      <w:snapToGrid w:val="0"/>
      <w:spacing w:after="50" w:line="360" w:lineRule="auto"/>
    </w:pPr>
    <w:rPr>
      <w:sz w:val="24"/>
    </w:rPr>
  </w:style>
  <w:style w:type="paragraph" w:customStyle="1" w:styleId="340">
    <w:name w:val="Char1 Char Char Char1"/>
    <w:basedOn w:val="1"/>
    <w:qFormat/>
    <w:uiPriority w:val="0"/>
    <w:rPr>
      <w:rFonts w:ascii="Tahoma" w:hAnsi="Tahoma" w:cs="Tahoma"/>
      <w:sz w:val="24"/>
      <w:szCs w:val="20"/>
    </w:rPr>
  </w:style>
  <w:style w:type="paragraph" w:customStyle="1" w:styleId="341">
    <w:name w:val="1"/>
    <w:basedOn w:val="1"/>
    <w:next w:val="11"/>
    <w:qFormat/>
    <w:uiPriority w:val="0"/>
    <w:pPr>
      <w:spacing w:after="120" w:line="480" w:lineRule="auto"/>
      <w:ind w:left="420"/>
    </w:pPr>
    <w:rPr>
      <w:szCs w:val="20"/>
    </w:rPr>
  </w:style>
  <w:style w:type="paragraph" w:customStyle="1" w:styleId="342">
    <w:name w:val="4"/>
    <w:basedOn w:val="1"/>
    <w:next w:val="14"/>
    <w:qFormat/>
    <w:uiPriority w:val="0"/>
    <w:rPr>
      <w:rFonts w:ascii="宋体;SimSun" w:hAnsi="宋体;SimSun" w:cs="Courier New"/>
      <w:szCs w:val="20"/>
    </w:rPr>
  </w:style>
  <w:style w:type="paragraph" w:customStyle="1" w:styleId="343">
    <w:name w:val="Char Char Char1"/>
    <w:basedOn w:val="1"/>
    <w:qFormat/>
    <w:uiPriority w:val="0"/>
    <w:rPr>
      <w:rFonts w:ascii="宋体;SimSun" w:hAnsi="宋体;SimSun" w:cs="宋体;SimSun"/>
      <w:b/>
      <w:bCs/>
      <w:kern w:val="0"/>
      <w:sz w:val="24"/>
    </w:rPr>
  </w:style>
  <w:style w:type="paragraph" w:customStyle="1" w:styleId="344">
    <w:name w:val="Char"/>
    <w:basedOn w:val="1"/>
    <w:qFormat/>
    <w:uiPriority w:val="0"/>
    <w:pPr>
      <w:spacing w:line="360" w:lineRule="auto"/>
      <w:jc w:val="left"/>
    </w:pPr>
    <w:rPr>
      <w:rFonts w:ascii="Tahoma" w:hAnsi="Tahoma" w:cs="Tahoma"/>
      <w:sz w:val="24"/>
      <w:szCs w:val="20"/>
    </w:rPr>
  </w:style>
  <w:style w:type="paragraph" w:customStyle="1" w:styleId="345">
    <w:name w:val="Char1"/>
    <w:basedOn w:val="1"/>
    <w:qFormat/>
    <w:uiPriority w:val="0"/>
    <w:pPr>
      <w:tabs>
        <w:tab w:val="right" w:pos="-2120"/>
      </w:tabs>
      <w:snapToGrid w:val="0"/>
    </w:pPr>
    <w:rPr>
      <w:rFonts w:ascii="Tahoma" w:hAnsi="Tahoma" w:cs="Tahoma"/>
      <w:spacing w:val="6"/>
      <w:sz w:val="24"/>
      <w:szCs w:val="20"/>
    </w:rPr>
  </w:style>
  <w:style w:type="paragraph" w:customStyle="1" w:styleId="346">
    <w:name w:val="Char1 Char Char Char"/>
    <w:basedOn w:val="1"/>
    <w:qFormat/>
    <w:uiPriority w:val="0"/>
    <w:rPr>
      <w:rFonts w:ascii="Tahoma" w:hAnsi="Tahoma" w:cs="Tahoma"/>
      <w:sz w:val="24"/>
      <w:szCs w:val="20"/>
    </w:rPr>
  </w:style>
  <w:style w:type="paragraph" w:customStyle="1" w:styleId="347">
    <w:name w:val="Default"/>
    <w:qFormat/>
    <w:uiPriority w:val="0"/>
    <w:pPr>
      <w:widowControl w:val="0"/>
      <w:autoSpaceDE w:val="0"/>
    </w:pPr>
    <w:rPr>
      <w:rFonts w:ascii="黑体;SimHei" w:hAnsi="黑体;SimHei" w:eastAsia="黑体;SimHei" w:cs="Times New Roman"/>
      <w:color w:val="000000"/>
      <w:sz w:val="24"/>
      <w:szCs w:val="24"/>
      <w:lang w:val="en-US" w:eastAsia="zh-CN" w:bidi="ar-SA"/>
    </w:rPr>
  </w:style>
  <w:style w:type="paragraph" w:customStyle="1" w:styleId="348">
    <w:name w:val="_Style 8"/>
    <w:basedOn w:val="1"/>
    <w:qFormat/>
    <w:uiPriority w:val="0"/>
    <w:pPr>
      <w:widowControl/>
      <w:spacing w:after="160" w:line="240" w:lineRule="exact"/>
      <w:jc w:val="left"/>
    </w:pPr>
    <w:rPr>
      <w:szCs w:val="20"/>
    </w:rPr>
  </w:style>
  <w:style w:type="paragraph" w:customStyle="1" w:styleId="349">
    <w:name w:val="ÕýÎÄ"/>
    <w:qFormat/>
    <w:uiPriority w:val="0"/>
    <w:pPr>
      <w:widowControl w:val="0"/>
      <w:overflowPunct w:val="0"/>
      <w:autoSpaceDE w:val="0"/>
      <w:jc w:val="both"/>
      <w:textAlignment w:val="baseline"/>
    </w:pPr>
    <w:rPr>
      <w:rFonts w:ascii="Times New Roman" w:hAnsi="Times New Roman" w:eastAsia="宋体;SimSun" w:cs="Times New Roman"/>
      <w:kern w:val="2"/>
      <w:sz w:val="21"/>
      <w:lang w:val="en-US" w:eastAsia="zh-CN" w:bidi="ar-SA"/>
    </w:rPr>
  </w:style>
  <w:style w:type="paragraph" w:customStyle="1" w:styleId="350">
    <w:name w:val="_Style 16"/>
    <w:basedOn w:val="1"/>
    <w:qFormat/>
    <w:uiPriority w:val="0"/>
    <w:pPr>
      <w:widowControl/>
      <w:spacing w:after="160" w:line="240" w:lineRule="exact"/>
      <w:jc w:val="left"/>
    </w:pPr>
    <w:rPr>
      <w:szCs w:val="20"/>
    </w:rPr>
  </w:style>
  <w:style w:type="paragraph" w:customStyle="1" w:styleId="351">
    <w:name w:val="列出段落11"/>
    <w:basedOn w:val="1"/>
    <w:qFormat/>
    <w:uiPriority w:val="0"/>
    <w:pPr>
      <w:widowControl/>
      <w:ind w:firstLine="420"/>
      <w:jc w:val="left"/>
    </w:pPr>
    <w:rPr>
      <w:kern w:val="0"/>
      <w:sz w:val="24"/>
      <w:szCs w:val="20"/>
    </w:rPr>
  </w:style>
  <w:style w:type="paragraph" w:customStyle="1" w:styleId="352">
    <w:name w:val="Char Char"/>
    <w:basedOn w:val="1"/>
    <w:qFormat/>
    <w:uiPriority w:val="0"/>
    <w:pPr>
      <w:widowControl/>
      <w:spacing w:after="160" w:line="240" w:lineRule="exact"/>
      <w:jc w:val="left"/>
    </w:pPr>
    <w:rPr>
      <w:rFonts w:ascii="Verdana" w:hAnsi="Verdana" w:eastAsia="仿宋_GB2312;仿宋" w:cs="Verdana"/>
      <w:kern w:val="0"/>
      <w:sz w:val="24"/>
      <w:szCs w:val="20"/>
    </w:rPr>
  </w:style>
  <w:style w:type="paragraph" w:customStyle="1" w:styleId="353">
    <w:name w:val="图片"/>
    <w:basedOn w:val="1"/>
    <w:next w:val="5"/>
    <w:qFormat/>
    <w:uiPriority w:val="0"/>
    <w:pPr>
      <w:keepNext/>
      <w:widowControl/>
      <w:jc w:val="left"/>
    </w:pPr>
    <w:rPr>
      <w:rFonts w:ascii="Garamond" w:hAnsi="Garamond" w:cs="Garamond"/>
      <w:kern w:val="0"/>
      <w:szCs w:val="20"/>
    </w:rPr>
  </w:style>
  <w:style w:type="paragraph" w:customStyle="1" w:styleId="354">
    <w:name w:val="批注框文本 Char Char"/>
    <w:basedOn w:val="1"/>
    <w:qFormat/>
    <w:uiPriority w:val="0"/>
    <w:rPr>
      <w:sz w:val="18"/>
      <w:szCs w:val="20"/>
    </w:rPr>
  </w:style>
  <w:style w:type="paragraph" w:customStyle="1" w:styleId="355">
    <w:name w:val="Char Char Char Char Char Char Char Char Char"/>
    <w:basedOn w:val="1"/>
    <w:qFormat/>
    <w:uiPriority w:val="0"/>
    <w:pPr>
      <w:widowControl/>
      <w:spacing w:after="160" w:line="240" w:lineRule="exact"/>
      <w:jc w:val="left"/>
    </w:pPr>
    <w:rPr>
      <w:rFonts w:ascii="Verdana" w:hAnsi="Verdana" w:eastAsia="仿宋_GB2312;仿宋" w:cs="Verdana"/>
      <w:b/>
      <w:i/>
      <w:kern w:val="0"/>
      <w:sz w:val="24"/>
    </w:rPr>
  </w:style>
  <w:style w:type="paragraph" w:customStyle="1" w:styleId="356">
    <w:name w:val="flNote"/>
    <w:basedOn w:val="1"/>
    <w:qFormat/>
    <w:uiPriority w:val="0"/>
    <w:pPr>
      <w:spacing w:before="320" w:after="160" w:line="360" w:lineRule="atLeast"/>
      <w:jc w:val="center"/>
      <w:textAlignment w:val="baseline"/>
    </w:pPr>
    <w:rPr>
      <w:rFonts w:ascii="Arial" w:hAnsi="Arial" w:eastAsia="黑体;SimHei"/>
      <w:kern w:val="0"/>
      <w:sz w:val="30"/>
      <w:szCs w:val="20"/>
    </w:rPr>
  </w:style>
  <w:style w:type="paragraph" w:customStyle="1" w:styleId="357">
    <w:name w:val="flName"/>
    <w:basedOn w:val="356"/>
    <w:qFormat/>
    <w:uiPriority w:val="0"/>
    <w:rPr>
      <w:sz w:val="32"/>
    </w:rPr>
  </w:style>
  <w:style w:type="paragraph" w:customStyle="1" w:styleId="358">
    <w:name w:val="flType"/>
    <w:basedOn w:val="357"/>
    <w:qFormat/>
    <w:uiPriority w:val="0"/>
    <w:pPr>
      <w:spacing w:before="560" w:after="120"/>
    </w:pPr>
    <w:rPr>
      <w:sz w:val="28"/>
    </w:rPr>
  </w:style>
  <w:style w:type="paragraph" w:customStyle="1" w:styleId="359">
    <w:name w:val="正文文字3"/>
    <w:basedOn w:val="11"/>
    <w:qFormat/>
    <w:uiPriority w:val="0"/>
    <w:pPr>
      <w:widowControl w:val="0"/>
      <w:spacing w:after="0" w:line="360" w:lineRule="atLeast"/>
      <w:ind w:left="72" w:right="72"/>
      <w:jc w:val="both"/>
      <w:textAlignment w:val="baseline"/>
    </w:pPr>
    <w:rPr>
      <w:rFonts w:ascii="Times New Roman" w:hAnsi="Times New Roman" w:eastAsia="宋体;SimSun"/>
      <w:sz w:val="21"/>
    </w:rPr>
  </w:style>
  <w:style w:type="paragraph" w:customStyle="1" w:styleId="360">
    <w:name w:val="注"/>
    <w:basedOn w:val="1"/>
    <w:qFormat/>
    <w:uiPriority w:val="0"/>
    <w:pPr>
      <w:spacing w:line="360" w:lineRule="atLeast"/>
      <w:ind w:left="840" w:hanging="420"/>
      <w:textAlignment w:val="baseline"/>
    </w:pPr>
    <w:rPr>
      <w:kern w:val="0"/>
      <w:szCs w:val="20"/>
    </w:rPr>
  </w:style>
  <w:style w:type="paragraph" w:customStyle="1" w:styleId="361">
    <w:name w:val="cft"/>
    <w:basedOn w:val="1"/>
    <w:qFormat/>
    <w:uiPriority w:val="0"/>
    <w:pPr>
      <w:spacing w:line="360" w:lineRule="auto"/>
    </w:pPr>
    <w:rPr>
      <w:rFonts w:eastAsia="楷体_GB2312"/>
      <w:sz w:val="24"/>
      <w:szCs w:val="20"/>
    </w:rPr>
  </w:style>
  <w:style w:type="paragraph" w:customStyle="1" w:styleId="362">
    <w:name w:val="空半行"/>
    <w:basedOn w:val="1"/>
    <w:qFormat/>
    <w:uiPriority w:val="0"/>
    <w:pPr>
      <w:spacing w:line="120" w:lineRule="exact"/>
      <w:textAlignment w:val="baseline"/>
    </w:pPr>
    <w:rPr>
      <w:rFonts w:eastAsia="仿宋_GB2312;仿宋"/>
      <w:color w:val="FFFFFF"/>
      <w:kern w:val="0"/>
      <w:sz w:val="30"/>
      <w:szCs w:val="20"/>
    </w:rPr>
  </w:style>
  <w:style w:type="paragraph" w:customStyle="1" w:styleId="363">
    <w:name w:val="正文文字1"/>
    <w:basedOn w:val="11"/>
    <w:qFormat/>
    <w:uiPriority w:val="0"/>
    <w:pPr>
      <w:widowControl w:val="0"/>
      <w:spacing w:after="0" w:line="360" w:lineRule="atLeast"/>
      <w:ind w:left="72" w:right="72"/>
      <w:jc w:val="both"/>
      <w:textAlignment w:val="baseline"/>
    </w:pPr>
    <w:rPr>
      <w:rFonts w:ascii="Times New Roman" w:hAnsi="Times New Roman" w:eastAsia="宋体;SimSun"/>
      <w:sz w:val="21"/>
    </w:rPr>
  </w:style>
  <w:style w:type="paragraph" w:customStyle="1" w:styleId="364">
    <w:name w:val="表格编号"/>
    <w:basedOn w:val="1"/>
    <w:qFormat/>
    <w:uiPriority w:val="0"/>
    <w:pPr>
      <w:tabs>
        <w:tab w:val="left" w:pos="720"/>
      </w:tabs>
      <w:spacing w:before="50" w:line="360" w:lineRule="atLeast"/>
      <w:ind w:left="425" w:hanging="425"/>
      <w:jc w:val="center"/>
      <w:textAlignment w:val="baseline"/>
    </w:pPr>
    <w:rPr>
      <w:kern w:val="0"/>
      <w:sz w:val="24"/>
      <w:szCs w:val="20"/>
    </w:rPr>
  </w:style>
  <w:style w:type="paragraph" w:customStyle="1" w:styleId="365">
    <w:name w:val="图样编号"/>
    <w:basedOn w:val="1"/>
    <w:qFormat/>
    <w:uiPriority w:val="0"/>
    <w:pPr>
      <w:tabs>
        <w:tab w:val="left" w:pos="720"/>
      </w:tabs>
      <w:spacing w:after="50" w:line="360" w:lineRule="atLeast"/>
      <w:ind w:left="425" w:hanging="425"/>
      <w:jc w:val="center"/>
      <w:textAlignment w:val="baseline"/>
    </w:pPr>
    <w:rPr>
      <w:kern w:val="0"/>
      <w:sz w:val="24"/>
    </w:rPr>
  </w:style>
  <w:style w:type="paragraph" w:customStyle="1" w:styleId="366">
    <w:name w:val="H-TextFormat"/>
    <w:qFormat/>
    <w:uiPriority w:val="0"/>
    <w:rPr>
      <w:rFonts w:ascii="Arial" w:hAnsi="Arial" w:eastAsia="宋体;SimSun" w:cs="Arial"/>
      <w:sz w:val="22"/>
      <w:lang w:val="en-US" w:eastAsia="zh-CN" w:bidi="ar-SA"/>
    </w:rPr>
  </w:style>
  <w:style w:type="paragraph" w:customStyle="1" w:styleId="367">
    <w:name w:val="Preistext 4"/>
    <w:basedOn w:val="1"/>
    <w:qFormat/>
    <w:uiPriority w:val="0"/>
    <w:pPr>
      <w:widowControl/>
      <w:tabs>
        <w:tab w:val="left" w:pos="5178"/>
      </w:tabs>
      <w:ind w:left="-2" w:right="-93" w:firstLine="2"/>
      <w:jc w:val="left"/>
    </w:pPr>
    <w:rPr>
      <w:szCs w:val="20"/>
      <w:lang w:bidi="he-IL"/>
    </w:rPr>
  </w:style>
  <w:style w:type="paragraph" w:customStyle="1" w:styleId="368">
    <w:name w:val="彩色列表 - 着色 1"/>
    <w:basedOn w:val="1"/>
    <w:qFormat/>
    <w:uiPriority w:val="0"/>
    <w:pPr>
      <w:widowControl/>
      <w:spacing w:after="200" w:line="276" w:lineRule="auto"/>
      <w:ind w:left="720"/>
      <w:contextualSpacing/>
      <w:jc w:val="left"/>
    </w:pPr>
    <w:rPr>
      <w:rFonts w:ascii="Calibri" w:hAnsi="Calibri" w:cs="Calibri"/>
      <w:kern w:val="0"/>
      <w:sz w:val="22"/>
      <w:szCs w:val="22"/>
    </w:rPr>
  </w:style>
  <w:style w:type="paragraph" w:customStyle="1" w:styleId="369">
    <w:name w:val="Preistext2"/>
    <w:basedOn w:val="1"/>
    <w:qFormat/>
    <w:uiPriority w:val="0"/>
    <w:pPr>
      <w:widowControl/>
      <w:tabs>
        <w:tab w:val="left" w:pos="709"/>
        <w:tab w:val="left" w:pos="1701"/>
        <w:tab w:val="left" w:pos="3119"/>
      </w:tabs>
      <w:ind w:left="1843" w:right="1701"/>
      <w:jc w:val="left"/>
    </w:pPr>
    <w:rPr>
      <w:rFonts w:ascii="Arial" w:hAnsi="Arial" w:cs="Arial"/>
      <w:kern w:val="0"/>
      <w:sz w:val="18"/>
      <w:szCs w:val="20"/>
      <w:lang w:val="en-GB"/>
    </w:rPr>
  </w:style>
  <w:style w:type="paragraph" w:customStyle="1" w:styleId="370">
    <w:name w:val="font5"/>
    <w:basedOn w:val="1"/>
    <w:qFormat/>
    <w:uiPriority w:val="0"/>
    <w:pPr>
      <w:widowControl/>
      <w:spacing w:before="280" w:after="280"/>
      <w:jc w:val="left"/>
    </w:pPr>
    <w:rPr>
      <w:rFonts w:ascii="宋体;SimSun" w:hAnsi="宋体;SimSun" w:cs="宋体;SimSun"/>
      <w:kern w:val="0"/>
      <w:sz w:val="18"/>
      <w:szCs w:val="18"/>
    </w:rPr>
  </w:style>
  <w:style w:type="paragraph" w:customStyle="1" w:styleId="371">
    <w:name w:val="font6"/>
    <w:basedOn w:val="1"/>
    <w:qFormat/>
    <w:uiPriority w:val="0"/>
    <w:pPr>
      <w:widowControl/>
      <w:spacing w:before="280" w:after="280"/>
      <w:jc w:val="left"/>
    </w:pPr>
    <w:rPr>
      <w:rFonts w:ascii="宋体;SimSun" w:hAnsi="宋体;SimSun" w:cs="宋体;SimSun"/>
      <w:kern w:val="0"/>
      <w:sz w:val="20"/>
      <w:szCs w:val="20"/>
    </w:rPr>
  </w:style>
  <w:style w:type="paragraph" w:customStyle="1" w:styleId="372">
    <w:name w:val="font7"/>
    <w:basedOn w:val="1"/>
    <w:qFormat/>
    <w:uiPriority w:val="0"/>
    <w:pPr>
      <w:widowControl/>
      <w:spacing w:before="280" w:after="280"/>
      <w:jc w:val="left"/>
    </w:pPr>
    <w:rPr>
      <w:kern w:val="0"/>
      <w:sz w:val="20"/>
      <w:szCs w:val="20"/>
    </w:rPr>
  </w:style>
  <w:style w:type="paragraph" w:customStyle="1" w:styleId="373">
    <w:name w:val="xl34"/>
    <w:basedOn w:val="1"/>
    <w:qFormat/>
    <w:uiPriority w:val="0"/>
    <w:pPr>
      <w:widowControl/>
      <w:pBdr>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74">
    <w:name w:val="font8"/>
    <w:basedOn w:val="1"/>
    <w:qFormat/>
    <w:uiPriority w:val="0"/>
    <w:pPr>
      <w:widowControl/>
      <w:spacing w:before="280" w:after="280"/>
      <w:jc w:val="left"/>
    </w:pPr>
    <w:rPr>
      <w:b/>
      <w:bCs/>
      <w:kern w:val="0"/>
      <w:sz w:val="22"/>
      <w:szCs w:val="22"/>
    </w:rPr>
  </w:style>
  <w:style w:type="paragraph" w:customStyle="1" w:styleId="375">
    <w:name w:val="font9"/>
    <w:basedOn w:val="1"/>
    <w:qFormat/>
    <w:uiPriority w:val="0"/>
    <w:pPr>
      <w:widowControl/>
      <w:spacing w:before="280" w:after="280"/>
      <w:jc w:val="left"/>
    </w:pPr>
    <w:rPr>
      <w:rFonts w:ascii="楷体_GB2312" w:hAnsi="楷体_GB2312" w:eastAsia="楷体_GB2312" w:cs="宋体;SimSun"/>
      <w:b/>
      <w:bCs/>
      <w:kern w:val="0"/>
      <w:sz w:val="22"/>
      <w:szCs w:val="22"/>
    </w:rPr>
  </w:style>
  <w:style w:type="paragraph" w:customStyle="1" w:styleId="376">
    <w:name w:val="font10"/>
    <w:basedOn w:val="1"/>
    <w:qFormat/>
    <w:uiPriority w:val="0"/>
    <w:pPr>
      <w:widowControl/>
      <w:spacing w:before="280" w:after="280"/>
      <w:jc w:val="left"/>
    </w:pPr>
    <w:rPr>
      <w:rFonts w:ascii="Arial" w:hAnsi="Arial" w:cs="Arial"/>
      <w:b/>
      <w:bCs/>
      <w:kern w:val="0"/>
      <w:sz w:val="22"/>
      <w:szCs w:val="22"/>
    </w:rPr>
  </w:style>
  <w:style w:type="paragraph" w:customStyle="1" w:styleId="377">
    <w:name w:val="xl37"/>
    <w:basedOn w:val="1"/>
    <w:qFormat/>
    <w:uiPriority w:val="0"/>
    <w:pPr>
      <w:widowControl/>
      <w:pBdr>
        <w:top w:val="double" w:color="000000" w:sz="6" w:space="0"/>
        <w:left w:val="single" w:color="000000" w:sz="4" w:space="0"/>
        <w:bottom w:val="double" w:color="000000" w:sz="6" w:space="0"/>
        <w:right w:val="single" w:color="000000" w:sz="4" w:space="0"/>
      </w:pBdr>
      <w:spacing w:before="280" w:after="280"/>
      <w:jc w:val="center"/>
      <w:textAlignment w:val="center"/>
    </w:pPr>
    <w:rPr>
      <w:rFonts w:ascii="宋体;SimSun" w:hAnsi="宋体;SimSun" w:cs="宋体;SimSun"/>
      <w:b/>
      <w:bCs/>
      <w:color w:val="FF0000"/>
      <w:kern w:val="0"/>
      <w:sz w:val="24"/>
    </w:rPr>
  </w:style>
  <w:style w:type="paragraph" w:customStyle="1" w:styleId="378">
    <w:name w:val="xl24"/>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79">
    <w:name w:val="xl38"/>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宋体;SimSun" w:hAnsi="宋体;SimSun" w:cs="宋体;SimSun"/>
      <w:b/>
      <w:bCs/>
      <w:kern w:val="0"/>
      <w:sz w:val="22"/>
      <w:szCs w:val="22"/>
    </w:rPr>
  </w:style>
  <w:style w:type="paragraph" w:customStyle="1" w:styleId="380">
    <w:name w:val="xl25"/>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1">
    <w:name w:val="xl39"/>
    <w:basedOn w:val="1"/>
    <w:qFormat/>
    <w:uiPriority w:val="0"/>
    <w:pPr>
      <w:widowControl/>
      <w:pBdr>
        <w:top w:val="double" w:color="000000" w:sz="6" w:space="0"/>
        <w:left w:val="single" w:color="000000" w:sz="4" w:space="0"/>
        <w:bottom w:val="double" w:color="000000" w:sz="6" w:space="0"/>
        <w:right w:val="single" w:color="000000" w:sz="4" w:space="0"/>
      </w:pBdr>
      <w:spacing w:before="280" w:after="280"/>
      <w:jc w:val="center"/>
      <w:textAlignment w:val="center"/>
    </w:pPr>
    <w:rPr>
      <w:rFonts w:ascii="宋体;SimSun" w:hAnsi="宋体;SimSun" w:cs="宋体;SimSun"/>
      <w:b/>
      <w:bCs/>
      <w:color w:val="FF0000"/>
      <w:kern w:val="0"/>
      <w:sz w:val="24"/>
    </w:rPr>
  </w:style>
  <w:style w:type="paragraph" w:customStyle="1" w:styleId="382">
    <w:name w:val="xl26"/>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3">
    <w:name w:val="xl27"/>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84">
    <w:name w:val="xl28"/>
    <w:basedOn w:val="1"/>
    <w:qFormat/>
    <w:uiPriority w:val="0"/>
    <w:pPr>
      <w:widowControl/>
      <w:pBdr>
        <w:top w:val="single" w:color="000000" w:sz="4" w:space="0"/>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5">
    <w:name w:val="xl29"/>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Arial" w:hAnsi="Arial" w:cs="Arial"/>
      <w:b/>
      <w:bCs/>
      <w:kern w:val="0"/>
      <w:sz w:val="22"/>
      <w:szCs w:val="22"/>
    </w:rPr>
  </w:style>
  <w:style w:type="paragraph" w:customStyle="1" w:styleId="386">
    <w:name w:val="xl30"/>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left"/>
      <w:textAlignment w:val="center"/>
    </w:pPr>
    <w:rPr>
      <w:rFonts w:ascii="Arial" w:hAnsi="Arial" w:cs="Arial"/>
      <w:b/>
      <w:bCs/>
      <w:kern w:val="0"/>
      <w:sz w:val="22"/>
      <w:szCs w:val="22"/>
    </w:rPr>
  </w:style>
  <w:style w:type="paragraph" w:customStyle="1" w:styleId="387">
    <w:name w:val="xl31"/>
    <w:basedOn w:val="1"/>
    <w:qFormat/>
    <w:uiPriority w:val="0"/>
    <w:pPr>
      <w:widowControl/>
      <w:pBdr>
        <w:top w:val="single" w:color="000000" w:sz="4" w:space="0"/>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8">
    <w:name w:val="xl32"/>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9">
    <w:name w:val="xl33"/>
    <w:basedOn w:val="1"/>
    <w:qFormat/>
    <w:uiPriority w:val="0"/>
    <w:pPr>
      <w:widowControl/>
      <w:pBdr>
        <w:left w:val="single" w:color="000000" w:sz="4" w:space="0"/>
        <w:bottom w:val="single" w:color="000000" w:sz="4" w:space="0"/>
      </w:pBdr>
      <w:spacing w:before="280" w:after="280"/>
      <w:jc w:val="left"/>
      <w:textAlignment w:val="center"/>
    </w:pPr>
    <w:rPr>
      <w:rFonts w:ascii="Arial" w:hAnsi="Arial" w:cs="Arial"/>
      <w:b/>
      <w:bCs/>
      <w:kern w:val="0"/>
      <w:sz w:val="22"/>
      <w:szCs w:val="22"/>
    </w:rPr>
  </w:style>
  <w:style w:type="paragraph" w:customStyle="1" w:styleId="390">
    <w:name w:val="xl35"/>
    <w:basedOn w:val="1"/>
    <w:qFormat/>
    <w:uiPriority w:val="0"/>
    <w:pPr>
      <w:widowControl/>
      <w:pBdr>
        <w:top w:val="double" w:color="000000" w:sz="6" w:space="0"/>
        <w:left w:val="double" w:color="000000" w:sz="6" w:space="0"/>
        <w:bottom w:val="double" w:color="000000" w:sz="6" w:space="0"/>
        <w:right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91">
    <w:name w:val="xl36"/>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宋体;SimSun" w:hAnsi="宋体;SimSun" w:cs="宋体;SimSun"/>
      <w:b/>
      <w:bCs/>
      <w:kern w:val="0"/>
      <w:sz w:val="22"/>
      <w:szCs w:val="22"/>
    </w:rPr>
  </w:style>
  <w:style w:type="paragraph" w:customStyle="1" w:styleId="392">
    <w:name w:val="正常"/>
    <w:qFormat/>
    <w:uiPriority w:val="0"/>
    <w:pPr>
      <w:widowControl w:val="0"/>
      <w:jc w:val="both"/>
    </w:pPr>
    <w:rPr>
      <w:rFonts w:ascii="Times New Roman" w:hAnsi="Times New Roman" w:eastAsia="宋体;SimSun" w:cs="Times New Roman"/>
      <w:kern w:val="2"/>
      <w:sz w:val="21"/>
      <w:szCs w:val="24"/>
      <w:lang w:val="en-US" w:eastAsia="zh-CN" w:bidi="ar-SA"/>
    </w:rPr>
  </w:style>
  <w:style w:type="paragraph" w:customStyle="1" w:styleId="393">
    <w:name w:val="Table Contents"/>
    <w:basedOn w:val="1"/>
    <w:qFormat/>
    <w:uiPriority w:val="0"/>
    <w:pPr>
      <w:suppressLineNumbers/>
    </w:pPr>
  </w:style>
  <w:style w:type="paragraph" w:customStyle="1" w:styleId="394">
    <w:name w:val="Table Heading"/>
    <w:basedOn w:val="393"/>
    <w:qFormat/>
    <w:uiPriority w:val="0"/>
    <w:pPr>
      <w:jc w:val="center"/>
    </w:pPr>
    <w:rPr>
      <w:b/>
      <w:bCs/>
    </w:rPr>
  </w:style>
  <w:style w:type="paragraph" w:customStyle="1" w:styleId="395">
    <w:name w:val="Frame Contents"/>
    <w:basedOn w:val="1"/>
    <w:qFormat/>
    <w:uiPriority w:val="0"/>
  </w:style>
  <w:style w:type="character" w:customStyle="1" w:styleId="396">
    <w:name w:val="页眉 Char2"/>
    <w:basedOn w:val="32"/>
    <w:link w:val="19"/>
    <w:semiHidden/>
    <w:qFormat/>
    <w:uiPriority w:val="99"/>
    <w:rPr>
      <w:rFonts w:ascii="Times New Roman" w:hAnsi="Times New Roman" w:eastAsia="宋体;SimSun" w:cs="Times New Roman"/>
      <w:kern w:val="2"/>
      <w:sz w:val="18"/>
      <w:szCs w:val="18"/>
      <w:lang w:bidi="ar-SA"/>
    </w:rPr>
  </w:style>
  <w:style w:type="character" w:customStyle="1" w:styleId="397">
    <w:name w:val="页脚 Char2"/>
    <w:basedOn w:val="32"/>
    <w:link w:val="18"/>
    <w:semiHidden/>
    <w:qFormat/>
    <w:uiPriority w:val="99"/>
    <w:rPr>
      <w:rFonts w:ascii="Times New Roman" w:hAnsi="Times New Roman" w:eastAsia="宋体;SimSun" w:cs="Times New Roman"/>
      <w:kern w:val="2"/>
      <w:sz w:val="18"/>
      <w:szCs w:val="18"/>
      <w:lang w:bidi="ar-SA"/>
    </w:rPr>
  </w:style>
  <w:style w:type="character" w:customStyle="1" w:styleId="398">
    <w:name w:val="标题 1 Char1"/>
    <w:basedOn w:val="32"/>
    <w:link w:val="2"/>
    <w:qFormat/>
    <w:uiPriority w:val="0"/>
    <w:rPr>
      <w:rFonts w:ascii="Times New Roman" w:hAnsi="Times New Roman" w:eastAsia="宋体" w:cs="Times New Roman"/>
      <w:b/>
      <w:snapToGrid w:val="0"/>
      <w:kern w:val="2"/>
      <w:sz w:val="22"/>
      <w:szCs w:val="20"/>
      <w:lang w:bidi="ar-SA"/>
    </w:rPr>
  </w:style>
  <w:style w:type="character" w:customStyle="1" w:styleId="399">
    <w:name w:val="标题 3 Char1"/>
    <w:basedOn w:val="32"/>
    <w:link w:val="3"/>
    <w:qFormat/>
    <w:uiPriority w:val="0"/>
    <w:rPr>
      <w:rFonts w:ascii="Times New Roman" w:hAnsi="Times New Roman" w:eastAsia="宋体" w:cs="Times New Roman"/>
      <w:b/>
      <w:bCs/>
      <w:kern w:val="2"/>
      <w:sz w:val="32"/>
      <w:szCs w:val="32"/>
      <w:lang w:bidi="ar-SA"/>
    </w:rPr>
  </w:style>
  <w:style w:type="character" w:customStyle="1" w:styleId="400">
    <w:name w:val="标题 Char2"/>
    <w:basedOn w:val="32"/>
    <w:link w:val="27"/>
    <w:qFormat/>
    <w:uiPriority w:val="0"/>
    <w:rPr>
      <w:rFonts w:ascii="Times New Roman" w:hAnsi="Times New Roman" w:eastAsia="宋体" w:cs="Times New Roman"/>
      <w:b/>
      <w:szCs w:val="20"/>
      <w:lang w:bidi="ar-SA"/>
    </w:rPr>
  </w:style>
  <w:style w:type="character" w:customStyle="1" w:styleId="401">
    <w:name w:val="文档结构图 Char"/>
    <w:basedOn w:val="32"/>
    <w:link w:val="6"/>
    <w:qFormat/>
    <w:uiPriority w:val="0"/>
    <w:rPr>
      <w:rFonts w:ascii="Times New Roman" w:hAnsi="Times New Roman" w:eastAsia="宋体" w:cs="Times New Roman"/>
      <w:snapToGrid w:val="0"/>
      <w:kern w:val="2"/>
      <w:sz w:val="22"/>
      <w:szCs w:val="20"/>
      <w:shd w:val="clear" w:color="auto" w:fill="000080"/>
      <w:lang w:bidi="ar-SA"/>
    </w:rPr>
  </w:style>
  <w:style w:type="paragraph" w:customStyle="1" w:styleId="402">
    <w:name w:val="Balloon Text1"/>
    <w:basedOn w:val="1"/>
    <w:qFormat/>
    <w:uiPriority w:val="0"/>
    <w:rPr>
      <w:rFonts w:eastAsia="宋体"/>
      <w:sz w:val="18"/>
      <w:szCs w:val="18"/>
    </w:rPr>
  </w:style>
  <w:style w:type="character" w:customStyle="1" w:styleId="403">
    <w:name w:val="脚注文本 Char2"/>
    <w:basedOn w:val="32"/>
    <w:link w:val="22"/>
    <w:semiHidden/>
    <w:qFormat/>
    <w:uiPriority w:val="0"/>
    <w:rPr>
      <w:rFonts w:ascii="Times New Roman" w:hAnsi="Times New Roman" w:eastAsia="宋体" w:cs="Times New Roman"/>
      <w:sz w:val="20"/>
      <w:szCs w:val="20"/>
      <w:lang w:val="de-DE" w:bidi="ar-SA"/>
    </w:rPr>
  </w:style>
  <w:style w:type="paragraph" w:customStyle="1" w:styleId="404">
    <w:name w:val="AbsatzTableFormat"/>
    <w:basedOn w:val="1"/>
    <w:qFormat/>
    <w:uiPriority w:val="0"/>
    <w:pPr>
      <w:widowControl/>
      <w:jc w:val="left"/>
    </w:pPr>
    <w:rPr>
      <w:rFonts w:eastAsia="宋体"/>
      <w:bCs/>
      <w:kern w:val="0"/>
      <w:sz w:val="22"/>
      <w:szCs w:val="20"/>
      <w:lang w:val="pt-BR" w:eastAsia="en-US"/>
    </w:rPr>
  </w:style>
  <w:style w:type="paragraph" w:customStyle="1" w:styleId="405">
    <w:name w:val="Char1 Char Char"/>
    <w:basedOn w:val="1"/>
    <w:qFormat/>
    <w:uiPriority w:val="0"/>
    <w:pPr>
      <w:adjustRightInd w:val="0"/>
      <w:spacing w:line="360" w:lineRule="auto"/>
    </w:pPr>
    <w:rPr>
      <w:rFonts w:eastAsia="宋体"/>
      <w:kern w:val="0"/>
      <w:sz w:val="24"/>
      <w:szCs w:val="20"/>
    </w:rPr>
  </w:style>
  <w:style w:type="character" w:customStyle="1" w:styleId="406">
    <w:name w:val="访问过的超链接"/>
    <w:qFormat/>
    <w:uiPriority w:val="0"/>
    <w:rPr>
      <w:rFonts w:eastAsia="宋体"/>
      <w:color w:val="800080"/>
      <w:kern w:val="2"/>
      <w:sz w:val="24"/>
      <w:szCs w:val="24"/>
      <w:u w:val="single"/>
      <w:lang w:val="en-US" w:eastAsia="zh-CN" w:bidi="ar-SA"/>
    </w:rPr>
  </w:style>
  <w:style w:type="paragraph" w:customStyle="1" w:styleId="407">
    <w:name w:val="p9"/>
    <w:basedOn w:val="1"/>
    <w:qFormat/>
    <w:uiPriority w:val="0"/>
    <w:pPr>
      <w:widowControl/>
      <w:spacing w:before="100" w:beforeAutospacing="1" w:after="100" w:afterAutospacing="1"/>
      <w:jc w:val="left"/>
    </w:pPr>
    <w:rPr>
      <w:rFonts w:eastAsia="Arial Unicode MS" w:cs="Arial Unicode MS"/>
      <w:color w:val="000000"/>
      <w:kern w:val="0"/>
      <w:sz w:val="18"/>
      <w:szCs w:val="18"/>
    </w:rPr>
  </w:style>
  <w:style w:type="paragraph" w:customStyle="1" w:styleId="408">
    <w:name w:val="00-Viertel"/>
    <w:basedOn w:val="1"/>
    <w:qFormat/>
    <w:uiPriority w:val="0"/>
    <w:pPr>
      <w:keepNext/>
      <w:keepLines/>
      <w:tabs>
        <w:tab w:val="left" w:pos="227"/>
      </w:tabs>
      <w:spacing w:before="40" w:after="40" w:line="50" w:lineRule="atLeast"/>
      <w:jc w:val="left"/>
    </w:pPr>
    <w:rPr>
      <w:rFonts w:ascii="L Univers 45 Light" w:hAnsi="L Univers 45 Light" w:eastAsia="宋体"/>
      <w:kern w:val="0"/>
      <w:sz w:val="18"/>
      <w:szCs w:val="20"/>
      <w:lang w:val="de-DE"/>
    </w:rPr>
  </w:style>
  <w:style w:type="paragraph" w:customStyle="1" w:styleId="409">
    <w:name w:val="正文非缩进"/>
    <w:basedOn w:val="1"/>
    <w:next w:val="11"/>
    <w:qFormat/>
    <w:uiPriority w:val="0"/>
    <w:pPr>
      <w:widowControl/>
      <w:spacing w:line="360" w:lineRule="auto"/>
      <w:jc w:val="left"/>
    </w:pPr>
    <w:rPr>
      <w:rFonts w:eastAsia="宋体"/>
      <w:kern w:val="0"/>
      <w:szCs w:val="20"/>
    </w:rPr>
  </w:style>
  <w:style w:type="paragraph" w:customStyle="1" w:styleId="410">
    <w:name w:val="Char Char Char Char Char Char Char Char Char Char Char Char Char Char Char Char Char Char Char Char Char Char"/>
    <w:basedOn w:val="1"/>
    <w:qFormat/>
    <w:uiPriority w:val="0"/>
    <w:pPr>
      <w:tabs>
        <w:tab w:val="left" w:pos="948"/>
      </w:tabs>
      <w:ind w:left="948" w:hanging="360"/>
    </w:pPr>
    <w:rPr>
      <w:rFonts w:eastAsia="宋体"/>
      <w:sz w:val="24"/>
    </w:rPr>
  </w:style>
  <w:style w:type="paragraph" w:customStyle="1" w:styleId="411">
    <w:name w:val="Colorful List - Accent 1"/>
    <w:basedOn w:val="1"/>
    <w:qFormat/>
    <w:uiPriority w:val="0"/>
    <w:pPr>
      <w:ind w:firstLine="420" w:firstLineChars="200"/>
    </w:pPr>
    <w:rPr>
      <w:rFonts w:ascii="Calibri" w:hAnsi="Calibri" w:eastAsia="宋体"/>
      <w:szCs w:val="22"/>
    </w:rPr>
  </w:style>
  <w:style w:type="paragraph" w:customStyle="1" w:styleId="412">
    <w:name w:val="中等深浅网格 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3">
    <w:name w:val="List Paragraph1"/>
    <w:basedOn w:val="1"/>
    <w:qFormat/>
    <w:uiPriority w:val="0"/>
    <w:pPr>
      <w:widowControl/>
      <w:spacing w:after="200"/>
      <w:ind w:left="720"/>
      <w:jc w:val="left"/>
    </w:pPr>
    <w:rPr>
      <w:rFonts w:ascii="Cambria" w:hAnsi="Cambria" w:eastAsia="宋体"/>
      <w:kern w:val="0"/>
      <w:sz w:val="24"/>
      <w:lang w:eastAsia="en-US"/>
    </w:rPr>
  </w:style>
  <w:style w:type="paragraph" w:customStyle="1" w:styleId="414">
    <w:name w:val="默认 A"/>
    <w:qFormat/>
    <w:uiPriority w:val="0"/>
    <w:pPr>
      <w:pBdr>
        <w:top w:val="none" w:color="FFFFFF" w:sz="0" w:space="31"/>
        <w:left w:val="none" w:color="FFFFFF" w:sz="0" w:space="31"/>
        <w:bottom w:val="none" w:color="FFFFFF" w:sz="0" w:space="31"/>
        <w:right w:val="none" w:color="FFFFFF" w:sz="0" w:space="31"/>
      </w:pBdr>
    </w:pPr>
    <w:rPr>
      <w:rFonts w:ascii="Arial Unicode MS" w:hAnsi="Arial Unicode MS" w:eastAsia="Arial Unicode MS" w:cs="Arial Unicode MS"/>
      <w:color w:val="000000"/>
      <w:sz w:val="22"/>
      <w:szCs w:val="22"/>
      <w:lang w:val="zh-TW" w:eastAsia="zh-TW" w:bidi="ar-SA"/>
    </w:rPr>
  </w:style>
  <w:style w:type="character" w:customStyle="1" w:styleId="415">
    <w:name w:val="未处理的提及"/>
    <w:unhideWhenUsed/>
    <w:qFormat/>
    <w:uiPriority w:val="99"/>
    <w:rPr>
      <w:color w:val="605E5C"/>
      <w:shd w:val="clear" w:color="auto" w:fill="E1DFDD"/>
    </w:rPr>
  </w:style>
  <w:style w:type="paragraph" w:customStyle="1" w:styleId="416">
    <w:name w:val="标题 11"/>
    <w:basedOn w:val="1"/>
    <w:next w:val="1"/>
    <w:qFormat/>
    <w:uiPriority w:val="0"/>
    <w:pPr>
      <w:keepNext/>
      <w:keepLines/>
      <w:spacing w:before="340" w:after="330" w:line="576" w:lineRule="auto"/>
      <w:outlineLvl w:val="0"/>
    </w:pPr>
    <w:rPr>
      <w:b/>
      <w:sz w:val="44"/>
      <w:szCs w:val="20"/>
    </w:rPr>
  </w:style>
  <w:style w:type="paragraph" w:customStyle="1" w:styleId="417">
    <w:name w:val="标题 21"/>
    <w:basedOn w:val="1"/>
    <w:next w:val="1"/>
    <w:qFormat/>
    <w:uiPriority w:val="0"/>
    <w:pPr>
      <w:keepNext/>
      <w:keepLines/>
      <w:spacing w:before="260" w:after="260" w:line="416" w:lineRule="atLeast"/>
      <w:jc w:val="center"/>
      <w:textAlignment w:val="baseline"/>
      <w:outlineLvl w:val="1"/>
    </w:pPr>
    <w:rPr>
      <w:rFonts w:ascii="Arial" w:hAnsi="Arial" w:eastAsia="黑体;SimHei" w:cs="Arial"/>
      <w:b/>
      <w:sz w:val="32"/>
      <w:szCs w:val="20"/>
    </w:rPr>
  </w:style>
  <w:style w:type="paragraph" w:customStyle="1" w:styleId="418">
    <w:name w:val="标题 31"/>
    <w:basedOn w:val="1"/>
    <w:next w:val="1"/>
    <w:qFormat/>
    <w:uiPriority w:val="0"/>
    <w:pPr>
      <w:keepNext/>
      <w:keepLines/>
      <w:tabs>
        <w:tab w:val="left" w:pos="1440"/>
      </w:tabs>
      <w:spacing w:before="260" w:after="260" w:line="416" w:lineRule="atLeast"/>
      <w:ind w:left="1440" w:hanging="360"/>
      <w:textAlignment w:val="baseline"/>
      <w:outlineLvl w:val="2"/>
    </w:pPr>
    <w:rPr>
      <w:b/>
      <w:kern w:val="0"/>
      <w:sz w:val="32"/>
      <w:szCs w:val="20"/>
    </w:rPr>
  </w:style>
  <w:style w:type="paragraph" w:customStyle="1" w:styleId="419">
    <w:name w:val="标题 41"/>
    <w:basedOn w:val="1"/>
    <w:next w:val="4"/>
    <w:qFormat/>
    <w:uiPriority w:val="0"/>
    <w:pPr>
      <w:keepNext/>
      <w:keepLines/>
      <w:tabs>
        <w:tab w:val="left" w:pos="1800"/>
      </w:tabs>
      <w:spacing w:before="280" w:after="290" w:line="374" w:lineRule="auto"/>
      <w:ind w:left="1800" w:hanging="360"/>
      <w:outlineLvl w:val="3"/>
    </w:pPr>
    <w:rPr>
      <w:rFonts w:ascii="Arial" w:hAnsi="Arial" w:eastAsia="黑体;SimHei" w:cs="Arial"/>
      <w:b/>
      <w:sz w:val="28"/>
      <w:szCs w:val="20"/>
    </w:rPr>
  </w:style>
  <w:style w:type="paragraph" w:customStyle="1" w:styleId="420">
    <w:name w:val="标题 51"/>
    <w:basedOn w:val="1"/>
    <w:next w:val="4"/>
    <w:qFormat/>
    <w:uiPriority w:val="0"/>
    <w:pPr>
      <w:keepNext/>
      <w:keepLines/>
      <w:tabs>
        <w:tab w:val="left" w:pos="2160"/>
      </w:tabs>
      <w:spacing w:before="280" w:after="290" w:line="374" w:lineRule="auto"/>
      <w:ind w:left="2160" w:hanging="360"/>
      <w:outlineLvl w:val="4"/>
    </w:pPr>
    <w:rPr>
      <w:b/>
      <w:sz w:val="28"/>
      <w:szCs w:val="20"/>
    </w:rPr>
  </w:style>
  <w:style w:type="paragraph" w:customStyle="1" w:styleId="421">
    <w:name w:val="标题 61"/>
    <w:basedOn w:val="1"/>
    <w:next w:val="4"/>
    <w:qFormat/>
    <w:uiPriority w:val="0"/>
    <w:pPr>
      <w:keepNext/>
      <w:keepLines/>
      <w:tabs>
        <w:tab w:val="left" w:pos="2520"/>
      </w:tabs>
      <w:spacing w:before="240" w:after="64" w:line="319" w:lineRule="auto"/>
      <w:ind w:left="2520" w:hanging="360"/>
      <w:outlineLvl w:val="5"/>
    </w:pPr>
    <w:rPr>
      <w:rFonts w:ascii="Arial" w:hAnsi="Arial" w:eastAsia="黑体;SimHei" w:cs="Arial"/>
      <w:b/>
      <w:sz w:val="24"/>
      <w:szCs w:val="20"/>
    </w:rPr>
  </w:style>
  <w:style w:type="paragraph" w:customStyle="1" w:styleId="422">
    <w:name w:val="标题 71"/>
    <w:basedOn w:val="1"/>
    <w:next w:val="4"/>
    <w:qFormat/>
    <w:uiPriority w:val="0"/>
    <w:pPr>
      <w:keepNext/>
      <w:keepLines/>
      <w:tabs>
        <w:tab w:val="left" w:pos="2880"/>
      </w:tabs>
      <w:spacing w:before="240" w:after="64" w:line="319" w:lineRule="auto"/>
      <w:ind w:left="2880" w:hanging="360"/>
      <w:outlineLvl w:val="6"/>
    </w:pPr>
    <w:rPr>
      <w:b/>
      <w:sz w:val="24"/>
      <w:szCs w:val="20"/>
    </w:rPr>
  </w:style>
  <w:style w:type="paragraph" w:customStyle="1" w:styleId="423">
    <w:name w:val="标题 81"/>
    <w:basedOn w:val="1"/>
    <w:next w:val="4"/>
    <w:qFormat/>
    <w:uiPriority w:val="0"/>
    <w:pPr>
      <w:keepNext/>
      <w:keepLines/>
      <w:tabs>
        <w:tab w:val="left" w:pos="3240"/>
      </w:tabs>
      <w:spacing w:before="240" w:after="64" w:line="319" w:lineRule="auto"/>
      <w:ind w:left="3240" w:hanging="360"/>
      <w:outlineLvl w:val="7"/>
    </w:pPr>
    <w:rPr>
      <w:rFonts w:ascii="Arial" w:hAnsi="Arial" w:eastAsia="黑体;SimHei" w:cs="Arial"/>
      <w:sz w:val="24"/>
      <w:szCs w:val="20"/>
    </w:rPr>
  </w:style>
  <w:style w:type="paragraph" w:customStyle="1" w:styleId="424">
    <w:name w:val="标题 91"/>
    <w:basedOn w:val="1"/>
    <w:next w:val="4"/>
    <w:qFormat/>
    <w:uiPriority w:val="0"/>
    <w:pPr>
      <w:keepNext/>
      <w:keepLines/>
      <w:tabs>
        <w:tab w:val="left" w:pos="3600"/>
      </w:tabs>
      <w:spacing w:before="240" w:after="64" w:line="319" w:lineRule="auto"/>
      <w:ind w:left="3600" w:hanging="360"/>
      <w:outlineLvl w:val="8"/>
    </w:pPr>
    <w:rPr>
      <w:rFonts w:ascii="Arial" w:hAnsi="Arial" w:eastAsia="黑体;SimHei" w:cs="Arial"/>
      <w:szCs w:val="20"/>
    </w:rPr>
  </w:style>
  <w:style w:type="character" w:customStyle="1" w:styleId="425">
    <w:name w:val="页码1"/>
    <w:basedOn w:val="32"/>
    <w:qFormat/>
    <w:uiPriority w:val="0"/>
  </w:style>
  <w:style w:type="paragraph" w:customStyle="1" w:styleId="426">
    <w:name w:val="题注1"/>
    <w:basedOn w:val="1"/>
    <w:qFormat/>
    <w:uiPriority w:val="0"/>
    <w:pPr>
      <w:suppressLineNumbers/>
      <w:spacing w:before="120" w:after="120"/>
    </w:pPr>
    <w:rPr>
      <w:rFonts w:cs="DejaVu Sans"/>
      <w:i/>
      <w:iCs/>
      <w:sz w:val="24"/>
    </w:rPr>
  </w:style>
  <w:style w:type="paragraph" w:customStyle="1" w:styleId="427">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428">
    <w:name w:val="页脚1"/>
    <w:basedOn w:val="1"/>
    <w:qFormat/>
    <w:uiPriority w:val="0"/>
    <w:pPr>
      <w:tabs>
        <w:tab w:val="center" w:pos="4153"/>
        <w:tab w:val="right" w:pos="8306"/>
      </w:tabs>
      <w:snapToGrid w:val="0"/>
      <w:jc w:val="left"/>
    </w:pPr>
    <w:rPr>
      <w:sz w:val="18"/>
      <w:szCs w:val="18"/>
    </w:rPr>
  </w:style>
  <w:style w:type="paragraph" w:customStyle="1" w:styleId="429">
    <w:name w:val="脚注文本1"/>
    <w:basedOn w:val="1"/>
    <w:qFormat/>
    <w:uiPriority w:val="0"/>
    <w:pPr>
      <w:snapToGrid w:val="0"/>
      <w:jc w:val="left"/>
    </w:pPr>
    <w:rPr>
      <w:sz w:val="18"/>
      <w:szCs w:val="20"/>
    </w:rPr>
  </w:style>
  <w:style w:type="paragraph" w:customStyle="1" w:styleId="430">
    <w:name w:val="目录 41"/>
    <w:basedOn w:val="1"/>
    <w:next w:val="1"/>
    <w:qFormat/>
    <w:uiPriority w:val="0"/>
    <w:pPr>
      <w:ind w:left="1260"/>
    </w:pPr>
    <w:rPr>
      <w:szCs w:val="20"/>
    </w:rPr>
  </w:style>
  <w:style w:type="paragraph" w:customStyle="1" w:styleId="431">
    <w:name w:val="目录 51"/>
    <w:basedOn w:val="1"/>
    <w:next w:val="1"/>
    <w:qFormat/>
    <w:uiPriority w:val="0"/>
    <w:pPr>
      <w:ind w:left="1680"/>
    </w:pPr>
    <w:rPr>
      <w:szCs w:val="20"/>
    </w:rPr>
  </w:style>
  <w:style w:type="paragraph" w:customStyle="1" w:styleId="432">
    <w:name w:val="目录 71"/>
    <w:basedOn w:val="1"/>
    <w:next w:val="1"/>
    <w:qFormat/>
    <w:uiPriority w:val="0"/>
    <w:pPr>
      <w:ind w:left="2520"/>
    </w:pPr>
    <w:rPr>
      <w:szCs w:val="20"/>
    </w:rPr>
  </w:style>
  <w:style w:type="paragraph" w:customStyle="1" w:styleId="433">
    <w:name w:val="目录 91"/>
    <w:basedOn w:val="1"/>
    <w:next w:val="1"/>
    <w:qFormat/>
    <w:uiPriority w:val="0"/>
    <w:pPr>
      <w:ind w:left="3360"/>
    </w:pPr>
    <w:rPr>
      <w:szCs w:val="20"/>
    </w:rPr>
  </w:style>
  <w:style w:type="paragraph" w:customStyle="1" w:styleId="434">
    <w:name w:val="目录 11"/>
    <w:basedOn w:val="1"/>
    <w:next w:val="1"/>
    <w:qFormat/>
    <w:uiPriority w:val="0"/>
    <w:pPr>
      <w:tabs>
        <w:tab w:val="left" w:pos="1260"/>
        <w:tab w:val="right" w:leader="dot" w:pos="9060"/>
      </w:tabs>
    </w:pPr>
    <w:rPr>
      <w:rFonts w:ascii="宋体;SimSun" w:hAnsi="宋体;SimSun" w:cs="宋体;SimSun"/>
      <w:sz w:val="32"/>
      <w:szCs w:val="44"/>
      <w:lang w:eastAsia="en-US"/>
    </w:rPr>
  </w:style>
  <w:style w:type="paragraph" w:customStyle="1" w:styleId="435">
    <w:name w:val="索引 11"/>
    <w:basedOn w:val="1"/>
    <w:next w:val="1"/>
    <w:qFormat/>
    <w:uiPriority w:val="0"/>
    <w:pPr>
      <w:spacing w:line="312" w:lineRule="atLeast"/>
      <w:textAlignment w:val="baseline"/>
    </w:pPr>
    <w:rPr>
      <w:kern w:val="0"/>
      <w:szCs w:val="20"/>
    </w:rPr>
  </w:style>
  <w:style w:type="paragraph" w:customStyle="1" w:styleId="436">
    <w:name w:val="目录 21"/>
    <w:basedOn w:val="1"/>
    <w:next w:val="1"/>
    <w:qFormat/>
    <w:uiPriority w:val="0"/>
    <w:pPr>
      <w:ind w:left="420"/>
    </w:pPr>
    <w:rPr>
      <w:szCs w:val="20"/>
    </w:rPr>
  </w:style>
  <w:style w:type="paragraph" w:customStyle="1" w:styleId="437">
    <w:name w:val="目录 81"/>
    <w:basedOn w:val="1"/>
    <w:next w:val="1"/>
    <w:qFormat/>
    <w:uiPriority w:val="0"/>
    <w:pPr>
      <w:ind w:left="2940"/>
    </w:pPr>
    <w:rPr>
      <w:szCs w:val="20"/>
    </w:rPr>
  </w:style>
  <w:style w:type="paragraph" w:customStyle="1" w:styleId="438">
    <w:name w:val="目录 61"/>
    <w:basedOn w:val="1"/>
    <w:next w:val="1"/>
    <w:qFormat/>
    <w:uiPriority w:val="0"/>
    <w:pPr>
      <w:tabs>
        <w:tab w:val="right" w:leader="dot" w:pos="8302"/>
      </w:tabs>
      <w:spacing w:line="360" w:lineRule="auto"/>
      <w:ind w:left="480"/>
    </w:pPr>
    <w:rPr>
      <w:sz w:val="24"/>
      <w:szCs w:val="20"/>
      <w:lang w:eastAsia="en-US"/>
    </w:rPr>
  </w:style>
  <w:style w:type="paragraph" w:customStyle="1" w:styleId="439">
    <w:name w:val="目录 31"/>
    <w:basedOn w:val="1"/>
    <w:next w:val="1"/>
    <w:qFormat/>
    <w:uiPriority w:val="0"/>
    <w:pPr>
      <w:ind w:left="840"/>
    </w:pPr>
    <w:rPr>
      <w:szCs w:val="20"/>
    </w:rPr>
  </w:style>
  <w:style w:type="character" w:customStyle="1" w:styleId="440">
    <w:name w:val="访问过的超链接1"/>
    <w:qFormat/>
    <w:uiPriority w:val="0"/>
    <w:rPr>
      <w:rFonts w:eastAsia="宋体"/>
      <w:color w:val="800080"/>
      <w:kern w:val="2"/>
      <w:sz w:val="24"/>
      <w:szCs w:val="24"/>
      <w:u w:val="single"/>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DFC6A9-D348-4DE5-ADB9-CF73931CE234}">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36</Pages>
  <Words>4065</Words>
  <Characters>23173</Characters>
  <Lines>193</Lines>
  <Paragraphs>54</Paragraphs>
  <TotalTime>28</TotalTime>
  <ScaleCrop>false</ScaleCrop>
  <LinksUpToDate>false</LinksUpToDate>
  <CharactersWithSpaces>27184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2020-05-23T07:46:00Z</dcterms:created>
  <dc:creator>User</dc:creator>
  <cp:lastModifiedBy>新卫招标</cp:lastModifiedBy>
  <cp:lastPrinted>2020-08-31T09:31:00Z</cp:lastPrinted>
  <dcterms:modified xsi:type="dcterms:W3CDTF">2021-04-12T07:51:06Z</dcterms:modified>
  <dc:title>机电产品采购</dc:title>
  <cp:revision>189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BE55CF3418B04D36A715427D61051EB4</vt:lpwstr>
  </property>
</Properties>
</file>