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0" w:line="240" w:lineRule="auto"/>
        <w:jc w:val="center"/>
        <w:rPr>
          <w:rFonts w:hint="eastAsia" w:ascii="方正小标宋简体" w:hAnsi="方正小标宋简体" w:eastAsia="方正小标宋简体" w:cs="方正小标宋简体"/>
          <w:color w:val="auto"/>
          <w:w w:val="105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w w:val="105"/>
          <w:sz w:val="44"/>
          <w:szCs w:val="44"/>
          <w:lang w:eastAsia="zh-CN"/>
        </w:rPr>
        <w:t>关于修</w:t>
      </w:r>
      <w:r>
        <w:rPr>
          <w:rFonts w:hint="eastAsia" w:ascii="方正小标宋简体" w:hAnsi="方正小标宋简体" w:eastAsia="方正小标宋简体" w:cs="方正小标宋简体"/>
          <w:color w:val="auto"/>
          <w:w w:val="105"/>
          <w:sz w:val="44"/>
          <w:szCs w:val="44"/>
          <w:lang w:val="en-US" w:eastAsia="zh-CN"/>
        </w:rPr>
        <w:t>改</w:t>
      </w:r>
      <w:r>
        <w:rPr>
          <w:rFonts w:hint="eastAsia" w:ascii="方正小标宋简体" w:hAnsi="方正小标宋简体" w:eastAsia="方正小标宋简体" w:cs="方正小标宋简体"/>
          <w:color w:val="auto"/>
          <w:w w:val="105"/>
          <w:sz w:val="44"/>
          <w:szCs w:val="44"/>
          <w:lang w:eastAsia="zh-CN"/>
        </w:rPr>
        <w:t>全国疑似预防接种异常反应</w:t>
      </w:r>
    </w:p>
    <w:p>
      <w:pPr>
        <w:adjustRightInd w:val="0"/>
        <w:snapToGrid w:val="0"/>
        <w:spacing w:before="0" w:line="240" w:lineRule="auto"/>
        <w:jc w:val="center"/>
        <w:rPr>
          <w:rFonts w:hint="eastAsia" w:ascii="方正小标宋简体" w:hAnsi="方正小标宋简体" w:eastAsia="方正小标宋简体" w:cs="方正小标宋简体"/>
          <w:color w:val="auto"/>
          <w:w w:val="105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w w:val="105"/>
          <w:sz w:val="44"/>
          <w:szCs w:val="44"/>
          <w:lang w:eastAsia="zh-CN"/>
        </w:rPr>
        <w:t>监测方案部分内容的通知</w:t>
      </w:r>
    </w:p>
    <w:p>
      <w:pPr>
        <w:pStyle w:val="2"/>
        <w:spacing w:before="101" w:line="240" w:lineRule="auto"/>
        <w:ind w:right="0" w:firstLine="318" w:firstLineChars="100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7"/>
          <w:w w:val="95"/>
          <w:sz w:val="32"/>
          <w:szCs w:val="32"/>
        </w:rPr>
        <w:t>国卫</w:t>
      </w:r>
      <w:r>
        <w:rPr>
          <w:rFonts w:hint="eastAsia" w:ascii="仿宋_GB2312" w:hAnsi="仿宋_GB2312" w:eastAsia="仿宋_GB2312" w:cs="仿宋_GB2312"/>
          <w:color w:val="auto"/>
          <w:spacing w:val="14"/>
          <w:w w:val="95"/>
          <w:sz w:val="32"/>
          <w:szCs w:val="32"/>
        </w:rPr>
        <w:t>办疾</w:t>
      </w:r>
      <w:r>
        <w:rPr>
          <w:rFonts w:hint="eastAsia" w:ascii="仿宋_GB2312" w:hAnsi="仿宋_GB2312" w:eastAsia="仿宋_GB2312" w:cs="仿宋_GB2312"/>
          <w:color w:val="auto"/>
          <w:w w:val="95"/>
          <w:sz w:val="32"/>
          <w:szCs w:val="32"/>
        </w:rPr>
        <w:t>控函</w:t>
      </w:r>
      <w:r>
        <w:rPr>
          <w:rFonts w:hint="eastAsia" w:ascii="仿宋_GB2312" w:hAnsi="仿宋_GB2312" w:eastAsia="仿宋_GB2312" w:cs="仿宋_GB2312"/>
          <w:color w:val="auto"/>
          <w:spacing w:val="9"/>
          <w:w w:val="95"/>
          <w:sz w:val="32"/>
          <w:szCs w:val="32"/>
        </w:rPr>
        <w:t>〔</w:t>
      </w:r>
      <w:r>
        <w:rPr>
          <w:rFonts w:hint="eastAsia" w:ascii="仿宋_GB2312" w:hAnsi="仿宋_GB2312" w:eastAsia="仿宋_GB2312" w:cs="仿宋_GB2312"/>
          <w:color w:val="auto"/>
          <w:spacing w:val="4"/>
          <w:w w:val="95"/>
          <w:sz w:val="32"/>
          <w:szCs w:val="32"/>
        </w:rPr>
        <w:t>2022</w:t>
      </w:r>
      <w:r>
        <w:rPr>
          <w:rFonts w:hint="eastAsia" w:ascii="仿宋_GB2312" w:hAnsi="仿宋_GB2312" w:eastAsia="仿宋_GB2312" w:cs="仿宋_GB2312"/>
          <w:color w:val="auto"/>
          <w:spacing w:val="11"/>
          <w:w w:val="95"/>
          <w:sz w:val="32"/>
          <w:szCs w:val="32"/>
        </w:rPr>
        <w:t>〕</w:t>
      </w:r>
      <w:r>
        <w:rPr>
          <w:rFonts w:hint="eastAsia" w:ascii="仿宋_GB2312" w:hAnsi="仿宋_GB2312" w:eastAsia="仿宋_GB2312" w:cs="仿宋_GB2312"/>
          <w:color w:val="auto"/>
          <w:w w:val="95"/>
          <w:sz w:val="32"/>
          <w:szCs w:val="32"/>
        </w:rPr>
        <w:t>208号</w:t>
      </w:r>
    </w:p>
    <w:p>
      <w:pPr>
        <w:adjustRightInd w:val="0"/>
        <w:snapToGrid w:val="0"/>
        <w:spacing w:before="0" w:line="240" w:lineRule="auto"/>
        <w:jc w:val="center"/>
        <w:rPr>
          <w:rFonts w:hint="eastAsia" w:ascii="方正小标宋_GBK" w:hAnsi="方正小标宋_GBK" w:eastAsia="方正小标宋_GBK" w:cs="方正小标宋_GBK"/>
          <w:color w:val="auto"/>
          <w:w w:val="105"/>
          <w:sz w:val="32"/>
          <w:szCs w:val="32"/>
          <w:lang w:eastAsia="zh-CN"/>
        </w:rPr>
      </w:pPr>
    </w:p>
    <w:p>
      <w:pPr>
        <w:pStyle w:val="2"/>
        <w:adjustRightInd w:val="0"/>
        <w:snapToGrid w:val="0"/>
        <w:spacing w:before="0" w:line="56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  <w:lang w:eastAsia="zh-CN"/>
        </w:rPr>
        <w:t>各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省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自治区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直辖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卫生健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  <w:lang w:eastAsia="zh-CN"/>
        </w:rPr>
        <w:t>康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委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  <w:lang w:eastAsia="zh-CN"/>
        </w:rPr>
        <w:t>、药监局，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新疆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  <w:lang w:eastAsia="zh-CN"/>
        </w:rPr>
        <w:t>生产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建设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兵团卫生健康委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  <w:lang w:eastAsia="zh-CN"/>
        </w:rPr>
        <w:t>、药监局，中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国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  <w:lang w:eastAsia="zh-CN"/>
        </w:rPr>
        <w:t>疾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控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中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  <w:lang w:eastAsia="zh-CN"/>
        </w:rPr>
        <w:t>心，国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家药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  <w:lang w:eastAsia="zh-CN"/>
        </w:rPr>
        <w:t>品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不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良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反应监测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中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心：</w:t>
      </w:r>
    </w:p>
    <w:p>
      <w:pPr>
        <w:pStyle w:val="2"/>
        <w:adjustRightInd w:val="0"/>
        <w:snapToGrid w:val="0"/>
        <w:spacing w:before="0" w:line="56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为进一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1"/>
          <w:sz w:val="32"/>
          <w:szCs w:val="32"/>
        </w:rPr>
        <w:t>步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做好疑似预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  <w:lang w:eastAsia="zh-CN"/>
        </w:rPr>
        <w:t>防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1"/>
          <w:sz w:val="32"/>
          <w:szCs w:val="32"/>
        </w:rPr>
        <w:t>接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种异常反应监测和处置相关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  <w:lang w:eastAsia="zh-CN"/>
        </w:rPr>
        <w:t>工作，经研究，决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定对《全国疑似预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1"/>
          <w:sz w:val="32"/>
          <w:szCs w:val="32"/>
        </w:rPr>
        <w:t>防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接种异常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  <w:lang w:eastAsia="zh-CN"/>
        </w:rPr>
        <w:t>反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应监测方案》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卫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1"/>
          <w:sz w:val="32"/>
          <w:szCs w:val="32"/>
        </w:rPr>
        <w:t>办疾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控发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1"/>
          <w:sz w:val="32"/>
          <w:szCs w:val="32"/>
        </w:rPr>
        <w:t>〔2010〕9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1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号）作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1"/>
          <w:sz w:val="32"/>
          <w:szCs w:val="32"/>
        </w:rPr>
        <w:t>出如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下修改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。</w:t>
      </w:r>
    </w:p>
    <w:p>
      <w:pPr>
        <w:pStyle w:val="2"/>
        <w:adjustRightInd w:val="0"/>
        <w:snapToGrid w:val="0"/>
        <w:spacing w:before="0" w:line="56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  <w:lang w:val="en-US" w:eastAsia="zh-CN"/>
        </w:rPr>
        <w:t>一、将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第一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段“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为加强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疫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苗使用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的安全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性监测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  <w:lang w:eastAsia="zh-CN"/>
        </w:rPr>
        <w:t>，根据《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中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华人民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共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和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国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传染病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防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治法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1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中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华人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民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共和国药品管理法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1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疫苗流通和预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防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接种管理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例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1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突发公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共卫生事件应急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例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等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  <w:lang w:eastAsia="zh-CN"/>
        </w:rPr>
        <w:t>法律、法规，参照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世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界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卫生组织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疫苗不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良反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应监测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  <w:lang w:eastAsia="zh-CN"/>
        </w:rPr>
        <w:t>指南，制定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本方案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”修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改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为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1"/>
          <w:sz w:val="32"/>
          <w:szCs w:val="32"/>
        </w:rPr>
        <w:t>“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为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规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范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全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国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预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防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接种异常反应监测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  <w:lang w:eastAsia="zh-CN"/>
        </w:rPr>
        <w:t>工作，根据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中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华人民共和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国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传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染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病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防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治法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中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华人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民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共和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国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药品管理法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1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中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华人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民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共和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国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疫苗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  <w:lang w:eastAsia="zh-CN"/>
        </w:rPr>
        <w:t>管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理法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1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突发公共卫生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事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件应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急条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例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1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等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法律、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  <w:lang w:eastAsia="zh-CN"/>
        </w:rPr>
        <w:t>法规，制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定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  <w:lang w:val="en-US" w:eastAsia="zh-CN"/>
        </w:rPr>
        <w:t>本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方案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1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”</w:t>
      </w:r>
    </w:p>
    <w:p>
      <w:pPr>
        <w:pStyle w:val="2"/>
        <w:adjustRightInd w:val="0"/>
        <w:snapToGrid w:val="0"/>
        <w:spacing w:before="0" w:line="57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  <w:lang w:val="en-US" w:eastAsia="zh-CN"/>
        </w:rPr>
        <w:t>二、将“四、调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查诊断”第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二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调查第一段“除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明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确诊断的一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般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反应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如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单纯发热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接种部位的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红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肿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硬结等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外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的疑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似预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防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接种异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常反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应均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需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调查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。”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后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增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加“省级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  <w:lang w:eastAsia="zh-CN"/>
        </w:rPr>
        <w:t>、设区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的市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级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和县级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疾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病预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防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控制机构应当成立预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  <w:lang w:eastAsia="zh-CN"/>
        </w:rPr>
        <w:t>防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接种异常反应调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查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诊断专家组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  <w:lang w:eastAsia="zh-CN"/>
        </w:rPr>
        <w:t>，负责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预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防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接种异常反应调查诊断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调查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  <w:lang w:eastAsia="zh-CN"/>
        </w:rPr>
        <w:t>诊断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专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家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组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由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流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行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病学、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  <w:lang w:eastAsia="zh-CN"/>
        </w:rPr>
        <w:t>临床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医学、药学等专家组成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疾病预防控制机构、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  <w:lang w:eastAsia="zh-CN"/>
        </w:rPr>
        <w:t>药品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不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良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反应监测机构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人员不进入预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防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接种异常反应调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查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诊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断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专家组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”</w:t>
      </w:r>
    </w:p>
    <w:p>
      <w:pPr>
        <w:adjustRightInd w:val="0"/>
        <w:snapToGrid w:val="0"/>
        <w:spacing w:before="0" w:line="570" w:lineRule="exact"/>
        <w:ind w:left="0" w:right="0" w:firstLine="647"/>
        <w:jc w:val="both"/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三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  <w:lang w:eastAsia="zh-CN"/>
        </w:rPr>
        <w:t>、将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“五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  <w:lang w:eastAsia="zh-CN"/>
        </w:rPr>
        <w:t>、处置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原则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”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一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条“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因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预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防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接种异常反应造成受种者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  <w:lang w:eastAsia="zh-CN"/>
        </w:rPr>
        <w:t>死亡、严重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残疾或者器官组织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  <w:lang w:eastAsia="zh-CN"/>
        </w:rPr>
        <w:t>损伤的，依照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疫苗流通和预防接种管理条例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1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1"/>
          <w:sz w:val="32"/>
          <w:szCs w:val="32"/>
          <w:lang w:eastAsia="zh-CN"/>
        </w:rPr>
        <w:t>有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关规定给予受种者一次性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补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偿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”修改为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“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实施接种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过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程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中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或者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实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施接种后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  <w:lang w:eastAsia="zh-CN"/>
        </w:rPr>
        <w:t>出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现受种者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  <w:lang w:eastAsia="zh-CN"/>
        </w:rPr>
        <w:t>死亡、严重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残疾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器官组织损伤等损害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  <w:lang w:eastAsia="zh-CN"/>
        </w:rPr>
        <w:t>，属于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异常反应或者不能排除的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  <w:lang w:eastAsia="zh-CN"/>
        </w:rPr>
        <w:t>，依照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中华人民共和国疫苗管理法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1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有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关规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定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给予受种者补偿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1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”</w:t>
      </w:r>
    </w:p>
    <w:p>
      <w:pPr>
        <w:adjustRightInd w:val="0"/>
        <w:snapToGrid w:val="0"/>
        <w:spacing w:before="0" w:line="570" w:lineRule="exact"/>
        <w:ind w:left="0" w:right="0" w:firstLine="657"/>
        <w:jc w:val="both"/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四、将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  <w:lang w:eastAsia="zh-CN"/>
        </w:rPr>
        <w:t>“五、处置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原则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”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三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条“因疫苗质量不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  <w:lang w:eastAsia="zh-CN"/>
        </w:rPr>
        <w:t>合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格给受种者造成损害的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  <w:lang w:eastAsia="zh-CN"/>
        </w:rPr>
        <w:t>，以及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因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接种单位违反预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防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接种工作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  <w:lang w:eastAsia="zh-CN"/>
        </w:rPr>
        <w:t>规范、免疫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程序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疫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苗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使用指导原则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  <w:lang w:eastAsia="zh-CN"/>
        </w:rPr>
        <w:t>、接种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方案给受种者造成损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  <w:lang w:eastAsia="zh-CN"/>
        </w:rPr>
        <w:t>害的，依照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中华人民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共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和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国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药品管理法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1"/>
          <w:sz w:val="32"/>
          <w:szCs w:val="32"/>
        </w:rPr>
        <w:t>》及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医疗事故处理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例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有关规定处理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。”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修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改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为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“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因疫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苗质量不合格给受种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者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造成损害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  <w:lang w:eastAsia="zh-CN"/>
        </w:rPr>
        <w:t>的，以及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因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接种单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位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违反预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防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接种工作规范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  <w:lang w:eastAsia="zh-CN"/>
        </w:rPr>
        <w:t>、免疫程序、疫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苗使用指导原则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  <w:lang w:eastAsia="zh-CN"/>
        </w:rPr>
        <w:t>、接种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方案给受种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者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造成损害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  <w:lang w:eastAsia="zh-CN"/>
        </w:rPr>
        <w:t>的，依照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中华人民共和国药品管理法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1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中华人民共和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国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疫苗管理法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1"/>
          <w:sz w:val="32"/>
          <w:szCs w:val="32"/>
        </w:rPr>
        <w:t>》及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医疗事故处理条例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1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有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关规定处理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1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”</w:t>
      </w:r>
    </w:p>
    <w:p>
      <w:pPr>
        <w:adjustRightInd w:val="0"/>
        <w:snapToGrid w:val="0"/>
        <w:spacing w:before="0" w:line="570" w:lineRule="exact"/>
        <w:ind w:left="0" w:right="0" w:firstLine="657"/>
        <w:jc w:val="both"/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  <w:lang w:eastAsia="zh-CN"/>
        </w:rPr>
        <w:t>五、将《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全国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疑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似预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防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接种异常反应监测方案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附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件4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“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名词解释”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中“严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重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疑似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预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防接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种异常反应”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的定义“疑似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预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防接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种异常反应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中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有下列情形之一者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  <w:lang w:eastAsia="zh-CN"/>
        </w:rPr>
        <w:t>：导致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死亡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  <w:lang w:eastAsia="zh-CN"/>
        </w:rPr>
        <w:t>；危及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生命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  <w:lang w:eastAsia="zh-CN"/>
        </w:rPr>
        <w:t>；导致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永久或显著的伤残或器官功能损伤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严重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疑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似预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防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接种异常反应包括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过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敏性休克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  <w:lang w:eastAsia="zh-CN"/>
        </w:rPr>
        <w:t>、过敏性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喉头水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肿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  <w:lang w:eastAsia="zh-CN"/>
        </w:rPr>
        <w:t>、过敏性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紫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  <w:lang w:eastAsia="zh-CN"/>
        </w:rPr>
        <w:t>癜、血小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板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减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少性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紫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  <w:lang w:eastAsia="zh-CN"/>
        </w:rPr>
        <w:t>癜、局部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过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敏坏死反应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Arth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us反应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  <w:lang w:eastAsia="zh-CN"/>
        </w:rPr>
        <w:t>、热性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惊厥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  <w:lang w:eastAsia="zh-CN"/>
        </w:rPr>
        <w:t>、癫痫、臂丛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神经炎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  <w:lang w:eastAsia="zh-CN"/>
        </w:rPr>
        <w:t>、多发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性神经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  <w:lang w:eastAsia="zh-CN"/>
        </w:rPr>
        <w:t>炎、格林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巴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利综合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  <w:lang w:eastAsia="zh-CN"/>
        </w:rPr>
        <w:t>征、脑病、脑炎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和脑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膜炎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  <w:lang w:eastAsia="zh-CN"/>
        </w:rPr>
        <w:t>、疫苗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相关麻痹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型脊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髓灰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质炎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  <w:lang w:eastAsia="zh-CN"/>
        </w:rPr>
        <w:t>、卡介苗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骨髓炎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  <w:lang w:eastAsia="zh-CN"/>
        </w:rPr>
        <w:t>、全身播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散性卡介苗感染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  <w:lang w:eastAsia="zh-CN"/>
        </w:rPr>
        <w:t>、晕厥、中毒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1"/>
          <w:sz w:val="32"/>
          <w:szCs w:val="32"/>
        </w:rPr>
        <w:t>性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休克综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合征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  <w:lang w:eastAsia="zh-CN"/>
        </w:rPr>
        <w:t>、全身化脓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性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感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染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等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”修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改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为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1"/>
          <w:sz w:val="32"/>
          <w:szCs w:val="32"/>
        </w:rPr>
        <w:t>“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有下列情形之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一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者为严重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疑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似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预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1"/>
          <w:sz w:val="32"/>
          <w:szCs w:val="32"/>
        </w:rPr>
        <w:t>防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接种异常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  <w:lang w:eastAsia="zh-CN"/>
        </w:rPr>
        <w:t>反应：死亡、危及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生命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  <w:lang w:eastAsia="zh-CN"/>
        </w:rPr>
        <w:t>、需要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住院治疗或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1"/>
          <w:sz w:val="32"/>
          <w:szCs w:val="32"/>
        </w:rPr>
        <w:t>延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长已在住院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1"/>
          <w:sz w:val="32"/>
          <w:szCs w:val="32"/>
        </w:rPr>
        <w:t>治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疗的时间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  <w:lang w:eastAsia="zh-CN"/>
        </w:rPr>
        <w:t>、持续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1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或显著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1"/>
          <w:sz w:val="32"/>
          <w:szCs w:val="32"/>
        </w:rPr>
        <w:t>的人体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1"/>
          <w:sz w:val="32"/>
          <w:szCs w:val="32"/>
          <w:lang w:eastAsia="zh-CN"/>
        </w:rPr>
        <w:t>伤残/失能、先天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性异常或者出生缺陷（怀疑受种者母亲孕期接种疫苗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  <w:lang w:eastAsia="zh-CN"/>
        </w:rPr>
        <w:t>所致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1"/>
          <w:sz w:val="32"/>
          <w:szCs w:val="32"/>
        </w:rPr>
        <w:t>，以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及如不干预或者治疗可能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1"/>
          <w:sz w:val="32"/>
          <w:szCs w:val="32"/>
        </w:rPr>
        <w:t>出现上述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所列情况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1"/>
          <w:sz w:val="32"/>
          <w:szCs w:val="32"/>
        </w:rPr>
        <w:t>的情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形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1"/>
          <w:sz w:val="32"/>
          <w:szCs w:val="32"/>
        </w:rPr>
        <w:t>。一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般需要采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1"/>
          <w:sz w:val="32"/>
          <w:szCs w:val="32"/>
        </w:rPr>
        <w:t>取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住院治疗等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1"/>
          <w:sz w:val="32"/>
          <w:szCs w:val="32"/>
        </w:rPr>
        <w:t>措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施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1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包括需要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1"/>
          <w:sz w:val="32"/>
          <w:szCs w:val="32"/>
        </w:rPr>
        <w:t>临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床治疗的重度疾病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1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如怀疑与疫苗相关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1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过敏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1"/>
          <w:sz w:val="32"/>
          <w:szCs w:val="32"/>
        </w:rPr>
        <w:t>性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1"/>
          <w:sz w:val="32"/>
          <w:szCs w:val="32"/>
          <w:lang w:eastAsia="zh-CN"/>
        </w:rPr>
        <w:t>休克、喉头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1"/>
          <w:sz w:val="32"/>
          <w:szCs w:val="32"/>
        </w:rPr>
        <w:t>水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肿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  <w:lang w:eastAsia="zh-CN"/>
        </w:rPr>
        <w:t>、紫癜、局部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1"/>
          <w:sz w:val="32"/>
          <w:szCs w:val="32"/>
        </w:rPr>
        <w:t>过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敏坏死反应（A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1"/>
          <w:sz w:val="32"/>
          <w:szCs w:val="32"/>
        </w:rPr>
        <w:t>rth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us反应）等变态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  <w:lang w:eastAsia="zh-CN"/>
        </w:rPr>
        <w:t>反应性疾病，臂丛神经炎、古兰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巴雷综合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  <w:lang w:eastAsia="zh-CN"/>
        </w:rPr>
        <w:t>征、脑病、脑炎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等神经系统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  <w:lang w:eastAsia="zh-CN"/>
        </w:rPr>
        <w:t>疾病，疫苗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1"/>
          <w:sz w:val="32"/>
          <w:szCs w:val="32"/>
        </w:rPr>
        <w:t>株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病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1"/>
          <w:sz w:val="32"/>
          <w:szCs w:val="32"/>
        </w:rPr>
        <w:t>原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体感染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1"/>
          <w:sz w:val="32"/>
          <w:szCs w:val="32"/>
        </w:rPr>
        <w:t>导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致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1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疫苗相关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1"/>
          <w:sz w:val="32"/>
          <w:szCs w:val="32"/>
        </w:rPr>
        <w:t>麻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痹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1"/>
          <w:sz w:val="32"/>
          <w:szCs w:val="32"/>
        </w:rPr>
        <w:t>型脊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髓灰质炎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  <w:lang w:eastAsia="zh-CN"/>
        </w:rPr>
        <w:t>、卡介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苗骨髓炎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  <w:lang w:eastAsia="zh-CN"/>
        </w:rPr>
        <w:t>、全身播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散性卡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1"/>
          <w:sz w:val="32"/>
          <w:szCs w:val="32"/>
        </w:rPr>
        <w:t>介苗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感染等特定疾病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  <w:lang w:eastAsia="zh-CN"/>
        </w:rPr>
        <w:t>、怀疑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偶合发生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1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或者与接种差错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  <w:lang w:eastAsia="zh-CN"/>
        </w:rPr>
        <w:t>、疫苗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质量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1"/>
          <w:sz w:val="32"/>
          <w:szCs w:val="32"/>
        </w:rPr>
        <w:t>问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题等相关的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1"/>
          <w:sz w:val="32"/>
          <w:szCs w:val="32"/>
        </w:rPr>
        <w:t>中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毒性休克综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1"/>
          <w:sz w:val="32"/>
          <w:szCs w:val="32"/>
        </w:rPr>
        <w:t>合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征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  <w:lang w:eastAsia="zh-CN"/>
        </w:rPr>
        <w:t>、全身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化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  <w:lang w:eastAsia="zh-CN"/>
        </w:rPr>
        <w:t>脓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性感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  <w:lang w:eastAsia="zh-CN"/>
        </w:rPr>
        <w:t>染等疾病，以及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1"/>
          <w:sz w:val="32"/>
          <w:szCs w:val="32"/>
        </w:rPr>
        <w:t>由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这些疾病导致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1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残疾和死亡</w:t>
      </w:r>
      <w:r>
        <w:rPr>
          <w:rFonts w:hint="eastAsia" w:ascii="仿宋_GB2312" w:hAnsi="仿宋_GB2312" w:eastAsia="仿宋_GB2312" w:cs="仿宋_GB2312"/>
          <w:color w:val="auto"/>
          <w:spacing w:val="0"/>
          <w:w w:val="100"/>
          <w:kern w:val="21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auto"/>
          <w:w w:val="100"/>
          <w:kern w:val="21"/>
          <w:sz w:val="32"/>
          <w:szCs w:val="32"/>
        </w:rPr>
        <w:t>”</w:t>
      </w:r>
    </w:p>
    <w:p>
      <w:pPr>
        <w:pStyle w:val="2"/>
        <w:adjustRightInd w:val="0"/>
        <w:snapToGrid w:val="0"/>
        <w:spacing w:before="0" w:line="56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本通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知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自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公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布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之</w:t>
      </w:r>
      <w:r>
        <w:rPr>
          <w:rFonts w:hint="eastAsia" w:ascii="仿宋_GB2312" w:hAnsi="仿宋_GB2312" w:eastAsia="仿宋_GB2312" w:cs="仿宋_GB2312"/>
          <w:color w:val="auto"/>
          <w:spacing w:val="0"/>
          <w:kern w:val="21"/>
          <w:sz w:val="32"/>
          <w:szCs w:val="32"/>
        </w:rPr>
        <w:t>日起施</w:t>
      </w:r>
      <w:r>
        <w:rPr>
          <w:rFonts w:hint="eastAsia" w:ascii="仿宋_GB2312" w:hAnsi="仿宋_GB2312" w:eastAsia="仿宋_GB2312" w:cs="仿宋_GB2312"/>
          <w:color w:val="auto"/>
          <w:kern w:val="21"/>
          <w:sz w:val="32"/>
          <w:szCs w:val="32"/>
        </w:rPr>
        <w:t>行。</w:t>
      </w:r>
    </w:p>
    <w:p>
      <w:pPr>
        <w:spacing w:before="0" w:line="240" w:lineRule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before="0" w:line="240" w:lineRule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spacing w:before="0" w:line="240" w:lineRule="auto"/>
        <w:ind w:firstLine="640" w:firstLineChars="200"/>
        <w:rPr>
          <w:rFonts w:hint="default" w:ascii="仿宋_GB2312" w:hAnsi="仿宋_GB2312" w:eastAsia="仿宋_GB2312" w:cs="仿宋_GB2312"/>
          <w:color w:val="auto"/>
          <w:sz w:val="32"/>
          <w:szCs w:val="32"/>
          <w:lang w:val="en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国家卫生健康委办公厅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国家药监局综合司</w:t>
      </w:r>
    </w:p>
    <w:p>
      <w:pPr>
        <w:spacing w:before="0" w:line="240" w:lineRule="auto"/>
        <w:ind w:firstLine="4800" w:firstLineChars="15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2022年6月10日</w:t>
      </w:r>
    </w:p>
    <w:p>
      <w:pPr>
        <w:pStyle w:val="2"/>
        <w:spacing w:before="0" w:line="240" w:lineRule="auto"/>
        <w:ind w:left="765" w:right="0"/>
        <w:jc w:val="left"/>
        <w:rPr>
          <w:rFonts w:hint="eastAsia" w:ascii="仿宋_GB2312" w:hAnsi="仿宋_GB2312" w:eastAsia="仿宋_GB2312" w:cs="仿宋_GB2312"/>
          <w:color w:val="auto"/>
          <w:w w:val="80"/>
          <w:sz w:val="32"/>
          <w:szCs w:val="32"/>
        </w:rPr>
      </w:pPr>
    </w:p>
    <w:p>
      <w:pPr>
        <w:pStyle w:val="2"/>
        <w:spacing w:before="0" w:line="240" w:lineRule="auto"/>
        <w:ind w:left="765" w:right="0"/>
        <w:jc w:val="left"/>
      </w:pPr>
      <w:r>
        <w:rPr>
          <w:rFonts w:hint="eastAsia" w:ascii="仿宋_GB2312" w:hAnsi="仿宋_GB2312" w:eastAsia="仿宋_GB2312" w:cs="仿宋_GB2312"/>
          <w:color w:val="auto"/>
          <w:w w:val="8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信</w:t>
      </w:r>
      <w:r>
        <w:rPr>
          <w:rFonts w:hint="eastAsia" w:ascii="仿宋_GB2312" w:hAnsi="仿宋_GB2312" w:eastAsia="仿宋_GB2312" w:cs="仿宋_GB2312"/>
          <w:color w:val="auto"/>
          <w:spacing w:val="25"/>
          <w:sz w:val="32"/>
          <w:szCs w:val="32"/>
        </w:rPr>
        <w:t>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公</w:t>
      </w:r>
      <w:r>
        <w:rPr>
          <w:rFonts w:hint="eastAsia" w:ascii="仿宋_GB2312" w:hAnsi="仿宋_GB2312" w:eastAsia="仿宋_GB2312" w:cs="仿宋_GB2312"/>
          <w:color w:val="auto"/>
          <w:spacing w:val="31"/>
          <w:sz w:val="32"/>
          <w:szCs w:val="32"/>
        </w:rPr>
        <w:t>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形式</w:t>
      </w:r>
      <w:r>
        <w:rPr>
          <w:rFonts w:hint="eastAsia" w:ascii="仿宋_GB2312" w:hAnsi="仿宋_GB2312" w:eastAsia="仿宋_GB2312" w:cs="仿宋_GB2312"/>
          <w:color w:val="auto"/>
          <w:spacing w:val="-176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：主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动公开）</w:t>
      </w:r>
      <w:bookmarkStart w:id="0" w:name="_GoBack"/>
      <w:bookmarkEnd w:id="0"/>
    </w:p>
    <w:sectPr>
      <w:footerReference r:id="rId5" w:type="default"/>
      <w:pgSz w:w="11906" w:h="16838"/>
      <w:pgMar w:top="1814" w:right="1474" w:bottom="1701" w:left="1587" w:header="851" w:footer="1247" w:gutter="0"/>
      <w:pgNumType w:fmt="decimal" w:start="3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wYjAxYzQwMTJiMDU5OWFkNjE2NmRmMzU5M2ZiNzgifQ=="/>
  </w:docVars>
  <w:rsids>
    <w:rsidRoot w:val="00000000"/>
    <w:rsid w:val="14CC2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</w:pPr>
    <w:rPr>
      <w:rFonts w:ascii="Calibri" w:hAnsi="Calibri" w:eastAsia="Calibri" w:cs="Times New Roman"/>
      <w:sz w:val="22"/>
      <w:szCs w:val="22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before="13"/>
      <w:ind w:left="112"/>
    </w:pPr>
    <w:rPr>
      <w:rFonts w:ascii="宋体" w:hAnsi="宋体" w:eastAsia="宋体"/>
      <w:sz w:val="28"/>
      <w:szCs w:val="2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2022-08-01T01:49:25Z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8CC9DEFD906E499EB47D04F7626E0CAB</vt:lpwstr>
  </property>
</Properties>
</file>