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hint="eastAsia" w:ascii="黑体" w:hAnsi="黑体" w:eastAsia="黑体" w:cs="黑体"/>
        </w:rPr>
      </w:pPr>
      <w:r>
        <w:rPr>
          <w:rFonts w:hint="eastAsia" w:ascii="黑体" w:hAnsi="黑体" w:eastAsia="黑体" w:cs="黑体"/>
        </w:rPr>
        <w:t>附件1</w:t>
      </w:r>
    </w:p>
    <w:p>
      <w:pPr>
        <w:adjustRightInd w:val="0"/>
        <w:snapToGrid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2022年公共卫生国家随机监督抽查计划</w:t>
      </w:r>
    </w:p>
    <w:p>
      <w:pPr>
        <w:adjustRightInd w:val="0"/>
        <w:snapToGrid w:val="0"/>
        <w:spacing w:line="590" w:lineRule="exact"/>
        <w:rPr>
          <w:rFonts w:hint="default" w:ascii="Times New Roman" w:hAnsi="Times New Roman" w:cs="Times New Roman"/>
        </w:rPr>
      </w:pPr>
    </w:p>
    <w:p>
      <w:pPr>
        <w:adjustRightInd w:val="0"/>
        <w:snapToGrid w:val="0"/>
        <w:spacing w:line="580" w:lineRule="exact"/>
        <w:ind w:firstLine="640" w:firstLineChars="200"/>
        <w:rPr>
          <w:rFonts w:hint="default" w:ascii="Times New Roman" w:hAnsi="Times New Roman" w:eastAsia="黑体" w:cs="Times New Roman"/>
        </w:rPr>
      </w:pPr>
      <w:r>
        <w:rPr>
          <w:rFonts w:hint="default" w:ascii="Times New Roman" w:hAnsi="Times New Roman" w:eastAsia="黑体" w:cs="Times New Roman"/>
        </w:rPr>
        <w:t>一、监督检查内容</w:t>
      </w:r>
    </w:p>
    <w:p>
      <w:pPr>
        <w:adjustRightInd w:val="0"/>
        <w:snapToGrid w:val="0"/>
        <w:spacing w:line="580" w:lineRule="exact"/>
        <w:ind w:firstLine="640" w:firstLineChars="200"/>
        <w:rPr>
          <w:rFonts w:hint="default" w:ascii="Times New Roman" w:hAnsi="Times New Roman" w:cs="Times New Roman"/>
        </w:rPr>
      </w:pPr>
      <w:r>
        <w:rPr>
          <w:rFonts w:hint="eastAsia" w:ascii="楷体_GB2312" w:hAnsi="楷体_GB2312" w:eastAsia="楷体_GB2312" w:cs="楷体_GB2312"/>
        </w:rPr>
        <w:t>（一）学校卫生。</w:t>
      </w:r>
      <w:r>
        <w:rPr>
          <w:rFonts w:hint="default" w:ascii="Times New Roman" w:hAnsi="Times New Roman" w:cs="Times New Roman"/>
        </w:rPr>
        <w:t>抽查学校教学和生活环境、传染病防控、学校饮用水以及学校内游泳场所的卫生管理情况，抽查教室采光照明、人均面积、学习用品和水质。加强学校新冠肺炎疫情常态化防控措施落实情况监督检查。</w:t>
      </w:r>
    </w:p>
    <w:p>
      <w:pPr>
        <w:adjustRightInd w:val="0"/>
        <w:snapToGrid w:val="0"/>
        <w:spacing w:line="580" w:lineRule="exact"/>
        <w:ind w:firstLine="640" w:firstLineChars="200"/>
        <w:rPr>
          <w:rFonts w:hint="default" w:ascii="Times New Roman" w:hAnsi="Times New Roman" w:cs="Times New Roman"/>
        </w:rPr>
      </w:pPr>
      <w:r>
        <w:rPr>
          <w:rFonts w:hint="eastAsia" w:ascii="楷体_GB2312" w:hAnsi="楷体_GB2312" w:eastAsia="楷体_GB2312" w:cs="楷体_GB2312"/>
        </w:rPr>
        <w:t>（二）公共场所卫生。</w:t>
      </w:r>
      <w:r>
        <w:rPr>
          <w:rFonts w:hint="default" w:ascii="Times New Roman" w:hAnsi="Times New Roman" w:cs="Times New Roman"/>
        </w:rPr>
        <w:t>抽查游泳、住宿、沐浴、美容美发等场所卫生管理情况，抽查顾客用品用具、水质、空气以及集中空调通风系统卫生质量。加强公共场所新冠肺炎疫情防控措施落实情况监督检查。</w:t>
      </w:r>
    </w:p>
    <w:p>
      <w:pPr>
        <w:adjustRightInd w:val="0"/>
        <w:snapToGrid w:val="0"/>
        <w:spacing w:line="580" w:lineRule="exact"/>
        <w:ind w:firstLine="640" w:firstLineChars="200"/>
        <w:rPr>
          <w:rFonts w:hint="default" w:ascii="Times New Roman" w:hAnsi="Times New Roman" w:cs="Times New Roman"/>
        </w:rPr>
      </w:pPr>
      <w:r>
        <w:rPr>
          <w:rFonts w:hint="eastAsia" w:ascii="楷体_GB2312" w:hAnsi="楷体_GB2312" w:eastAsia="楷体_GB2312" w:cs="楷体_GB2312"/>
        </w:rPr>
        <w:t>（三）生活饮用水卫生。</w:t>
      </w:r>
      <w:r>
        <w:rPr>
          <w:rFonts w:hint="default" w:ascii="Times New Roman" w:hAnsi="Times New Roman" w:cs="Times New Roman"/>
        </w:rPr>
        <w:t>抽查集中式供水、小型集中式供水、二次供水的卫生管理情况，抽查供水水质。推进农村集中式供水卫生安全巡查服务，建立健全农村集中式供水基本情况和卫生安全巡查档案。</w:t>
      </w:r>
    </w:p>
    <w:p>
      <w:pPr>
        <w:adjustRightInd w:val="0"/>
        <w:snapToGrid w:val="0"/>
        <w:spacing w:line="580" w:lineRule="exact"/>
        <w:ind w:firstLine="640" w:firstLineChars="200"/>
        <w:rPr>
          <w:rFonts w:hint="default" w:ascii="Times New Roman" w:hAnsi="Times New Roman" w:cs="Times New Roman"/>
        </w:rPr>
      </w:pPr>
      <w:r>
        <w:rPr>
          <w:rFonts w:hint="eastAsia" w:ascii="楷体_GB2312" w:hAnsi="楷体_GB2312" w:eastAsia="楷体_GB2312" w:cs="楷体_GB2312"/>
          <w:szCs w:val="32"/>
        </w:rPr>
        <w:t>（</w:t>
      </w:r>
      <w:r>
        <w:rPr>
          <w:rFonts w:hint="eastAsia" w:ascii="楷体_GB2312" w:hAnsi="楷体_GB2312" w:eastAsia="楷体_GB2312" w:cs="楷体_GB2312"/>
        </w:rPr>
        <w:t>四）涉及饮用水卫生安全的产品。</w:t>
      </w:r>
      <w:r>
        <w:rPr>
          <w:rFonts w:hint="default" w:ascii="Times New Roman" w:hAnsi="Times New Roman" w:cs="Times New Roman"/>
        </w:rPr>
        <w:t>抽查涉水产品生产经营单位、在华责任单位生产经营合规性情况，抽查输配水设备、水处理材料、化学处理剂和水质处理器产品卫生质量。抽查现制现售饮用水自动售水机的应用现场。</w:t>
      </w:r>
    </w:p>
    <w:p>
      <w:pPr>
        <w:adjustRightInd w:val="0"/>
        <w:snapToGrid w:val="0"/>
        <w:spacing w:line="580" w:lineRule="exact"/>
        <w:ind w:firstLine="640" w:firstLineChars="200"/>
        <w:rPr>
          <w:rFonts w:hint="default" w:ascii="Times New Roman" w:hAnsi="Times New Roman" w:cs="Times New Roman"/>
        </w:rPr>
      </w:pPr>
      <w:r>
        <w:rPr>
          <w:rFonts w:hint="eastAsia" w:ascii="楷体_GB2312" w:hAnsi="楷体_GB2312" w:eastAsia="楷体_GB2312" w:cs="楷体_GB2312"/>
          <w:szCs w:val="32"/>
        </w:rPr>
        <w:t>（五）餐具饮具集中消毒服务单位。</w:t>
      </w:r>
      <w:r>
        <w:rPr>
          <w:rFonts w:hint="default" w:ascii="Times New Roman" w:hAnsi="Times New Roman" w:cs="Times New Roman"/>
        </w:rPr>
        <w:t>抽查餐具饮具集中消毒服务单位依法生产情况，抽查消毒餐具饮具卫生质量。</w:t>
      </w:r>
    </w:p>
    <w:p>
      <w:pPr>
        <w:adjustRightInd w:val="0"/>
        <w:snapToGrid w:val="0"/>
        <w:spacing w:line="580" w:lineRule="exact"/>
        <w:ind w:firstLine="640" w:firstLineChars="200"/>
        <w:rPr>
          <w:rFonts w:hint="default" w:ascii="Times New Roman" w:hAnsi="Times New Roman" w:eastAsia="黑体" w:cs="Times New Roman"/>
        </w:rPr>
      </w:pPr>
      <w:r>
        <w:rPr>
          <w:rFonts w:hint="default" w:ascii="Times New Roman" w:hAnsi="Times New Roman" w:eastAsia="黑体" w:cs="Times New Roman"/>
        </w:rPr>
        <w:t>二、结果报送要求</w:t>
      </w:r>
    </w:p>
    <w:p>
      <w:pPr>
        <w:adjustRightInd w:val="0"/>
        <w:snapToGrid w:val="0"/>
        <w:spacing w:line="580" w:lineRule="exact"/>
        <w:ind w:firstLine="640" w:firstLineChars="200"/>
        <w:rPr>
          <w:rFonts w:hint="default" w:ascii="Times New Roman" w:hAnsi="Times New Roman" w:cs="Times New Roman"/>
        </w:rPr>
      </w:pPr>
      <w:r>
        <w:rPr>
          <w:rFonts w:hint="default" w:ascii="Times New Roman" w:hAnsi="Times New Roman" w:cs="Times New Roman"/>
        </w:rPr>
        <w:t>（一）各地要切实加强对上报数据信息的审核，按照抽查工作计划表及监督信息报告卡要求填报数据信息，保证数据信息项目齐全、质量可靠。目前尚不能通过监督信息报告卡上报的数据信息，需以网络填报汇总表方式上报。所有数据以信息报告系统填报数据为准，不需另外报送纸质报表。</w:t>
      </w:r>
    </w:p>
    <w:p>
      <w:pPr>
        <w:adjustRightInd w:val="0"/>
        <w:snapToGrid w:val="0"/>
        <w:spacing w:line="580" w:lineRule="exact"/>
        <w:ind w:firstLine="640" w:firstLineChars="200"/>
        <w:rPr>
          <w:rFonts w:hint="default" w:ascii="Times New Roman" w:hAnsi="Times New Roman" w:cs="Times New Roman"/>
        </w:rPr>
      </w:pPr>
      <w:r>
        <w:rPr>
          <w:rFonts w:hint="default" w:ascii="Times New Roman" w:hAnsi="Times New Roman" w:cs="Times New Roman"/>
        </w:rPr>
        <w:t>（二）各地要将完成本抽查计划中的学校采光和照明抽查任务，作为贯彻落实《综合防控儿童青少年近视实施方案》的一项重要内容，会同辖区教育行政部门做好抽查、记录和公布工作。</w:t>
      </w:r>
    </w:p>
    <w:p>
      <w:pPr>
        <w:adjustRightInd w:val="0"/>
        <w:snapToGrid w:val="0"/>
        <w:spacing w:line="580" w:lineRule="exact"/>
        <w:ind w:firstLine="640" w:firstLineChars="200"/>
        <w:rPr>
          <w:rFonts w:hint="default" w:ascii="Times New Roman" w:hAnsi="Times New Roman" w:cs="Times New Roman"/>
        </w:rPr>
      </w:pPr>
      <w:r>
        <w:rPr>
          <w:rFonts w:hint="default" w:ascii="Times New Roman" w:hAnsi="Times New Roman" w:cs="Times New Roman"/>
        </w:rPr>
        <w:t>（三）各地要强化处理措施，对监督检查中发现的突出问题，及时向当地政府主管部门通报情况，促进协同监管；对生活美容场所涉嫌违法开展医疗美容等案件线索，要及时通报、组织协查。重大案件信息要及时向我委报告。</w:t>
      </w:r>
    </w:p>
    <w:p>
      <w:pPr>
        <w:snapToGrid w:val="0"/>
        <w:spacing w:line="580" w:lineRule="exact"/>
        <w:ind w:firstLine="640"/>
        <w:rPr>
          <w:rFonts w:hint="eastAsia" w:ascii="仿宋_GB2312" w:hAnsi="仿宋_GB2312" w:cs="仿宋_GB2312"/>
        </w:rPr>
      </w:pPr>
      <w:r>
        <w:rPr>
          <w:rFonts w:hint="default" w:ascii="Times New Roman" w:hAnsi="Times New Roman" w:cs="Times New Roman"/>
        </w:rPr>
        <w:t>公共场所卫生、生活饮用水卫生联系人：詹秀敏，联系电话：</w:t>
      </w:r>
      <w:r>
        <w:rPr>
          <w:rFonts w:hint="eastAsia" w:ascii="仿宋_GB2312" w:hAnsi="仿宋_GB2312" w:cs="仿宋_GB2312"/>
        </w:rPr>
        <w:t>0591-87616499</w:t>
      </w:r>
    </w:p>
    <w:p>
      <w:pPr>
        <w:snapToGrid w:val="0"/>
        <w:spacing w:line="580" w:lineRule="exact"/>
        <w:ind w:firstLine="640"/>
        <w:rPr>
          <w:rFonts w:hint="eastAsia" w:ascii="仿宋_GB2312" w:hAnsi="仿宋_GB2312" w:cs="仿宋_GB2312"/>
        </w:rPr>
      </w:pPr>
      <w:r>
        <w:rPr>
          <w:rFonts w:hint="eastAsia" w:ascii="仿宋_GB2312" w:hAnsi="仿宋_GB2312" w:cs="仿宋_GB2312"/>
        </w:rPr>
        <w:t>涉水产品联系人：黄尚辉，联系电话：0591-87511542</w:t>
      </w:r>
    </w:p>
    <w:p>
      <w:pPr>
        <w:snapToGrid w:val="0"/>
        <w:spacing w:line="580" w:lineRule="exact"/>
        <w:ind w:firstLine="640"/>
        <w:rPr>
          <w:rFonts w:hint="eastAsia" w:ascii="仿宋_GB2312" w:hAnsi="仿宋_GB2312" w:cs="仿宋_GB2312"/>
        </w:rPr>
      </w:pPr>
      <w:r>
        <w:rPr>
          <w:rFonts w:hint="eastAsia" w:ascii="仿宋_GB2312" w:hAnsi="仿宋_GB2312" w:cs="仿宋_GB2312"/>
        </w:rPr>
        <w:t>餐饮具卫生联系人：欧阳长香，联系电话：0591-87616499</w:t>
      </w:r>
    </w:p>
    <w:p>
      <w:pPr>
        <w:adjustRightInd w:val="0"/>
        <w:snapToGrid w:val="0"/>
        <w:spacing w:line="580" w:lineRule="exact"/>
        <w:ind w:firstLine="640" w:firstLineChars="200"/>
        <w:rPr>
          <w:rFonts w:hint="eastAsia" w:ascii="仿宋_GB2312" w:hAnsi="仿宋_GB2312" w:cs="仿宋_GB2312"/>
        </w:rPr>
      </w:pPr>
    </w:p>
    <w:p>
      <w:pPr>
        <w:adjustRightInd w:val="0"/>
        <w:snapToGrid w:val="0"/>
        <w:spacing w:line="580" w:lineRule="exact"/>
        <w:ind w:firstLine="640" w:firstLineChars="200"/>
        <w:rPr>
          <w:rFonts w:hint="eastAsia" w:ascii="仿宋_GB2312" w:hAnsi="仿宋_GB2312" w:cs="仿宋_GB2312"/>
        </w:rPr>
      </w:pPr>
      <w:r>
        <w:rPr>
          <w:rFonts w:hint="eastAsia" w:ascii="仿宋_GB2312" w:hAnsi="仿宋_GB2312" w:cs="仿宋_GB2312"/>
        </w:rPr>
        <w:t>附表：1.2022年学校卫生国家随机监督抽查工作计划表</w:t>
      </w:r>
    </w:p>
    <w:p>
      <w:pPr>
        <w:adjustRightInd w:val="0"/>
        <w:snapToGrid w:val="0"/>
        <w:spacing w:line="580" w:lineRule="exact"/>
        <w:ind w:firstLine="1600" w:firstLineChars="500"/>
        <w:rPr>
          <w:rFonts w:hint="eastAsia" w:ascii="仿宋_GB2312" w:hAnsi="仿宋_GB2312" w:cs="仿宋_GB2312"/>
        </w:rPr>
      </w:pPr>
      <w:r>
        <w:rPr>
          <w:rFonts w:hint="eastAsia" w:ascii="仿宋_GB2312" w:hAnsi="仿宋_GB2312" w:cs="仿宋_GB2312"/>
        </w:rPr>
        <w:t>2.2022年公共场所卫生国家随机监督抽查工作计划表</w:t>
      </w:r>
    </w:p>
    <w:p>
      <w:pPr>
        <w:adjustRightInd w:val="0"/>
        <w:snapToGrid w:val="0"/>
        <w:spacing w:line="580" w:lineRule="exact"/>
        <w:ind w:firstLine="1600" w:firstLineChars="500"/>
        <w:rPr>
          <w:rFonts w:hint="eastAsia" w:ascii="仿宋_GB2312" w:hAnsi="仿宋_GB2312" w:cs="仿宋_GB2312"/>
          <w:spacing w:val="-17"/>
        </w:rPr>
      </w:pPr>
      <w:r>
        <w:rPr>
          <w:rFonts w:hint="eastAsia" w:ascii="仿宋_GB2312" w:hAnsi="仿宋_GB2312" w:cs="仿宋_GB2312"/>
        </w:rPr>
        <w:t>3.</w:t>
      </w:r>
      <w:r>
        <w:rPr>
          <w:rFonts w:hint="eastAsia" w:ascii="仿宋_GB2312" w:hAnsi="仿宋_GB2312" w:cs="仿宋_GB2312"/>
          <w:spacing w:val="-17"/>
        </w:rPr>
        <w:t>2022年生活饮用水卫生国家随机监督抽查工作计划表</w:t>
      </w:r>
    </w:p>
    <w:p>
      <w:pPr>
        <w:adjustRightInd w:val="0"/>
        <w:snapToGrid w:val="0"/>
        <w:spacing w:line="580" w:lineRule="exact"/>
        <w:ind w:firstLine="1620" w:firstLineChars="0"/>
        <w:rPr>
          <w:rFonts w:hint="eastAsia" w:ascii="仿宋_GB2312" w:hAnsi="仿宋_GB2312" w:cs="仿宋_GB2312"/>
          <w:spacing w:val="-4"/>
        </w:rPr>
      </w:pPr>
      <w:r>
        <w:rPr>
          <w:rFonts w:hint="eastAsia" w:ascii="仿宋_GB2312" w:hAnsi="仿宋_GB2312" w:cs="仿宋_GB2312"/>
          <w:spacing w:val="-4"/>
        </w:rPr>
        <w:t>4.</w:t>
      </w:r>
      <w:r>
        <w:rPr>
          <w:rFonts w:hint="eastAsia" w:ascii="仿宋_GB2312" w:hAnsi="仿宋_GB2312" w:cs="仿宋_GB2312"/>
        </w:rPr>
        <w:t>2022年涉水产品福建省随机监督抽查计划表</w:t>
      </w:r>
    </w:p>
    <w:p>
      <w:pPr>
        <w:adjustRightInd w:val="0"/>
        <w:snapToGrid w:val="0"/>
        <w:spacing w:line="580" w:lineRule="exact"/>
        <w:ind w:left="1856" w:leftChars="499" w:hanging="259" w:hangingChars="81"/>
        <w:rPr>
          <w:rFonts w:hint="default" w:ascii="Times New Roman" w:hAnsi="Times New Roman" w:cs="Times New Roman"/>
        </w:rPr>
      </w:pPr>
      <w:r>
        <w:rPr>
          <w:rFonts w:hint="eastAsia" w:ascii="仿宋_GB2312" w:hAnsi="仿宋_GB2312" w:cs="仿宋_GB2312"/>
        </w:rPr>
        <w:t>5.2022年餐具饮具集中消毒服务单位国家随机监督抽</w:t>
      </w:r>
      <w:r>
        <w:rPr>
          <w:rFonts w:hint="default" w:ascii="Times New Roman" w:hAnsi="Times New Roman" w:cs="Times New Roman"/>
        </w:rPr>
        <w:t>查工作计划表</w:t>
      </w:r>
    </w:p>
    <w:p>
      <w:pPr>
        <w:adjustRightInd w:val="0"/>
        <w:snapToGrid w:val="0"/>
        <w:spacing w:line="590" w:lineRule="exact"/>
        <w:ind w:left="1856" w:leftChars="499" w:hanging="259" w:hangingChars="81"/>
        <w:rPr>
          <w:rFonts w:hint="eastAsia" w:ascii="仿宋_GB2312" w:hAnsi="仿宋_GB2312" w:cs="仿宋_GB2312"/>
        </w:rPr>
      </w:pPr>
      <w:r>
        <w:rPr>
          <w:rFonts w:hint="eastAsia" w:ascii="仿宋_GB2312" w:hAnsi="仿宋_GB2312" w:cs="仿宋_GB2312"/>
        </w:rPr>
        <w:t>6.2022年学校学习用品国家随机监督抽查信息汇总表</w:t>
      </w:r>
    </w:p>
    <w:p>
      <w:pPr>
        <w:adjustRightInd w:val="0"/>
        <w:snapToGrid w:val="0"/>
        <w:spacing w:line="590" w:lineRule="exact"/>
        <w:ind w:left="1856" w:leftChars="499" w:hanging="259" w:hangingChars="81"/>
        <w:rPr>
          <w:rFonts w:hint="eastAsia" w:ascii="仿宋_GB2312" w:hAnsi="仿宋_GB2312" w:cs="仿宋_GB2312"/>
        </w:rPr>
      </w:pPr>
      <w:r>
        <w:rPr>
          <w:rFonts w:hint="eastAsia" w:ascii="仿宋_GB2312" w:hAnsi="仿宋_GB2312" w:cs="仿宋_GB2312"/>
        </w:rPr>
        <w:t>7.2022年小型集中式供水卫生安全巡查服务实施情况汇总表</w:t>
      </w:r>
    </w:p>
    <w:p>
      <w:pPr>
        <w:adjustRightInd w:val="0"/>
        <w:snapToGrid w:val="0"/>
        <w:spacing w:line="590" w:lineRule="exact"/>
        <w:ind w:left="1856" w:leftChars="499" w:hanging="259" w:hangingChars="81"/>
        <w:rPr>
          <w:rFonts w:hint="eastAsia" w:ascii="仿宋_GB2312" w:hAnsi="仿宋_GB2312" w:cs="仿宋_GB2312"/>
        </w:rPr>
      </w:pPr>
      <w:r>
        <w:rPr>
          <w:rFonts w:hint="eastAsia" w:ascii="仿宋_GB2312" w:hAnsi="仿宋_GB2312" w:cs="仿宋_GB2312"/>
        </w:rPr>
        <w:t>8.2022年小型集中式供水和二次供水水质国家随机监督抽查信息汇总表</w:t>
      </w:r>
    </w:p>
    <w:p>
      <w:pPr>
        <w:adjustRightInd w:val="0"/>
        <w:snapToGrid w:val="0"/>
        <w:spacing w:line="590" w:lineRule="exact"/>
        <w:ind w:left="1856" w:leftChars="499" w:hanging="259" w:hangingChars="81"/>
        <w:rPr>
          <w:rFonts w:hint="eastAsia" w:ascii="仿宋_GB2312" w:hAnsi="仿宋_GB2312" w:cs="仿宋_GB2312"/>
        </w:rPr>
      </w:pPr>
      <w:r>
        <w:rPr>
          <w:rFonts w:hint="eastAsia" w:ascii="仿宋_GB2312" w:hAnsi="仿宋_GB2312" w:cs="仿宋_GB2312"/>
        </w:rPr>
        <w:t>9.2022年二次供水卫生管理国家随机监督抽查信息汇总表</w:t>
      </w:r>
    </w:p>
    <w:p>
      <w:pPr>
        <w:adjustRightInd w:val="0"/>
        <w:snapToGrid w:val="0"/>
        <w:spacing w:line="590" w:lineRule="exact"/>
        <w:ind w:left="1856" w:leftChars="499" w:hanging="259" w:hangingChars="81"/>
        <w:rPr>
          <w:rFonts w:hint="eastAsia" w:ascii="仿宋_GB2312" w:hAnsi="仿宋_GB2312" w:cs="仿宋_GB2312"/>
        </w:rPr>
      </w:pPr>
      <w:r>
        <w:rPr>
          <w:rFonts w:hint="eastAsia" w:ascii="仿宋_GB2312" w:hAnsi="仿宋_GB2312" w:eastAsia="仿宋_GB2312" w:cs="仿宋_GB2312"/>
          <w:szCs w:val="32"/>
        </w:rPr>
        <w:t>10.2022年涉水产品经营单位国家随机监督抽查信息</w:t>
      </w:r>
      <w:r>
        <w:rPr>
          <w:rFonts w:hint="eastAsia" w:ascii="仿宋_GB2312" w:hAnsi="仿宋_GB2312" w:cs="仿宋_GB2312"/>
        </w:rPr>
        <w:t>汇总表</w:t>
      </w:r>
    </w:p>
    <w:p>
      <w:pPr>
        <w:adjustRightInd w:val="0"/>
        <w:snapToGrid w:val="0"/>
        <w:spacing w:line="590" w:lineRule="exact"/>
        <w:ind w:left="1856" w:leftChars="499" w:hanging="259" w:hangingChars="81"/>
        <w:rPr>
          <w:rFonts w:hint="eastAsia" w:ascii="仿宋_GB2312" w:hAnsi="仿宋_GB2312" w:cs="仿宋_GB2312"/>
        </w:rPr>
      </w:pPr>
      <w:r>
        <w:rPr>
          <w:rFonts w:hint="eastAsia" w:ascii="仿宋_GB2312" w:hAnsi="仿宋_GB2312" w:cs="仿宋_GB2312"/>
        </w:rPr>
        <w:t>11.2022年度福建省输配水设备生产企业抽检清单</w:t>
      </w:r>
    </w:p>
    <w:p>
      <w:pPr>
        <w:adjustRightInd w:val="0"/>
        <w:snapToGrid w:val="0"/>
        <w:spacing w:line="590" w:lineRule="exact"/>
        <w:ind w:left="1856" w:leftChars="499" w:hanging="259" w:hangingChars="81"/>
        <w:rPr>
          <w:rFonts w:hint="eastAsia" w:ascii="仿宋_GB2312" w:hAnsi="仿宋_GB2312" w:cs="仿宋_GB2312"/>
        </w:rPr>
      </w:pPr>
      <w:r>
        <w:rPr>
          <w:rFonts w:hint="eastAsia" w:ascii="仿宋_GB2312" w:hAnsi="仿宋_GB2312" w:cs="仿宋_GB2312"/>
        </w:rPr>
        <w:t>12.2022年度福建省化学处理剂生产企业抽检清单</w:t>
      </w:r>
    </w:p>
    <w:p>
      <w:pPr>
        <w:adjustRightInd w:val="0"/>
        <w:snapToGrid w:val="0"/>
        <w:spacing w:line="590" w:lineRule="exact"/>
        <w:ind w:left="1856" w:leftChars="499" w:hanging="259" w:hangingChars="81"/>
        <w:rPr>
          <w:rFonts w:hint="eastAsia" w:ascii="仿宋_GB2312" w:hAnsi="仿宋_GB2312" w:cs="仿宋_GB2312"/>
        </w:rPr>
      </w:pPr>
      <w:r>
        <w:rPr>
          <w:rFonts w:hint="eastAsia" w:ascii="仿宋_GB2312" w:hAnsi="仿宋_GB2312" w:cs="仿宋_GB2312"/>
        </w:rPr>
        <w:t>13.2022年度福建省水处理材料生产企业抽检清单</w:t>
      </w:r>
    </w:p>
    <w:p>
      <w:pPr>
        <w:adjustRightInd w:val="0"/>
        <w:snapToGrid w:val="0"/>
        <w:spacing w:line="590" w:lineRule="exact"/>
        <w:ind w:left="1856" w:leftChars="499" w:hanging="259" w:hangingChars="81"/>
        <w:rPr>
          <w:rFonts w:hint="eastAsia" w:ascii="仿宋_GB2312" w:hAnsi="仿宋_GB2312" w:cs="仿宋_GB2312"/>
        </w:rPr>
      </w:pPr>
      <w:r>
        <w:rPr>
          <w:rFonts w:hint="eastAsia" w:ascii="仿宋_GB2312" w:hAnsi="仿宋_GB2312" w:cs="仿宋_GB2312"/>
        </w:rPr>
        <w:t>14.2022年度福建省水质处理器生产企业抽检清单</w:t>
      </w:r>
    </w:p>
    <w:p>
      <w:pPr>
        <w:adjustRightInd w:val="0"/>
        <w:snapToGrid w:val="0"/>
        <w:spacing w:line="590" w:lineRule="exact"/>
        <w:ind w:left="1856" w:leftChars="499" w:hanging="259" w:hangingChars="81"/>
        <w:rPr>
          <w:rFonts w:hint="eastAsia" w:ascii="仿宋_GB2312" w:hAnsi="仿宋_GB2312" w:cs="仿宋_GB2312"/>
        </w:rPr>
      </w:pPr>
      <w:r>
        <w:rPr>
          <w:rFonts w:hint="eastAsia" w:ascii="仿宋_GB2312" w:hAnsi="仿宋_GB2312" w:cs="仿宋_GB2312"/>
        </w:rPr>
        <w:t>15.2022年度福建省涉水产品在华责任单位抽检清单</w:t>
      </w:r>
    </w:p>
    <w:p>
      <w:pPr>
        <w:adjustRightInd w:val="0"/>
        <w:snapToGrid w:val="0"/>
        <w:spacing w:line="590" w:lineRule="exact"/>
        <w:ind w:left="1856" w:leftChars="499" w:hanging="259" w:hangingChars="81"/>
        <w:rPr>
          <w:rFonts w:hint="eastAsia" w:ascii="仿宋_GB2312" w:hAnsi="仿宋_GB2312" w:cs="仿宋_GB2312"/>
        </w:rPr>
      </w:pPr>
      <w:r>
        <w:rPr>
          <w:rFonts w:hint="eastAsia" w:ascii="仿宋_GB2312" w:hAnsi="仿宋_GB2312" w:cs="仿宋_GB2312"/>
        </w:rPr>
        <w:t>16.</w:t>
      </w:r>
      <w:r>
        <w:rPr>
          <w:rFonts w:hint="eastAsia" w:ascii="仿宋_GB2312" w:hAnsi="仿宋_GB2312" w:cs="仿宋_GB2312"/>
          <w:spacing w:val="-11"/>
        </w:rPr>
        <w:t>2022年度福建省大型水质处理器生产企业抽查清单</w:t>
      </w:r>
    </w:p>
    <w:p>
      <w:pPr>
        <w:adjustRightInd w:val="0"/>
        <w:snapToGrid w:val="0"/>
        <w:spacing w:line="590" w:lineRule="exact"/>
        <w:ind w:left="1856" w:leftChars="499" w:hanging="259" w:hangingChars="81"/>
        <w:rPr>
          <w:rFonts w:hint="eastAsia" w:ascii="仿宋_GB2312" w:hAnsi="仿宋_GB2312" w:cs="仿宋_GB2312"/>
          <w:spacing w:val="-11"/>
        </w:rPr>
      </w:pPr>
      <w:r>
        <w:rPr>
          <w:rFonts w:hint="eastAsia" w:ascii="仿宋_GB2312" w:hAnsi="仿宋_GB2312" w:cs="仿宋_GB2312"/>
        </w:rPr>
        <w:t>17.</w:t>
      </w:r>
      <w:r>
        <w:rPr>
          <w:rFonts w:hint="eastAsia" w:ascii="仿宋_GB2312" w:hAnsi="仿宋_GB2312" w:cs="仿宋_GB2312"/>
          <w:spacing w:val="-11"/>
        </w:rPr>
        <w:t>2022年度福建省饮用水消毒设备生产企业抽查清单</w:t>
      </w:r>
    </w:p>
    <w:p>
      <w:pPr>
        <w:adjustRightInd w:val="0"/>
        <w:snapToGrid w:val="0"/>
        <w:spacing w:line="590" w:lineRule="exact"/>
        <w:ind w:left="1856" w:leftChars="499" w:hanging="259" w:hangingChars="81"/>
        <w:rPr>
          <w:rFonts w:hint="eastAsia" w:ascii="仿宋_GB2312" w:hAnsi="仿宋_GB2312" w:cs="仿宋_GB2312"/>
        </w:rPr>
      </w:pPr>
      <w:r>
        <w:rPr>
          <w:rFonts w:hint="eastAsia" w:ascii="仿宋_GB2312" w:hAnsi="仿宋_GB2312" w:cs="仿宋_GB2312"/>
        </w:rPr>
        <w:t>18.2022年度福建省供水设备生产企业抽查清单</w:t>
      </w:r>
    </w:p>
    <w:p>
      <w:pPr>
        <w:adjustRightInd w:val="0"/>
        <w:snapToGrid w:val="0"/>
        <w:spacing w:line="590" w:lineRule="exact"/>
        <w:ind w:left="1856" w:leftChars="499" w:hanging="259" w:hangingChars="81"/>
        <w:rPr>
          <w:rFonts w:hint="default" w:ascii="Times New Roman" w:hAnsi="Times New Roman" w:cs="Times New Roman"/>
        </w:rPr>
      </w:pPr>
      <w:r>
        <w:rPr>
          <w:rFonts w:hint="eastAsia" w:ascii="仿宋_GB2312" w:hAnsi="仿宋_GB2312" w:cs="仿宋_GB2312"/>
        </w:rPr>
        <w:t>19.福建省涉水产品生产企业</w:t>
      </w:r>
      <w:r>
        <w:rPr>
          <w:rFonts w:hint="default" w:ascii="Times New Roman" w:hAnsi="Times New Roman" w:cs="Times New Roman"/>
        </w:rPr>
        <w:t>抽查监督登记表</w:t>
      </w:r>
    </w:p>
    <w:p>
      <w:pPr>
        <w:adjustRightInd w:val="0"/>
        <w:snapToGrid w:val="0"/>
        <w:spacing w:line="590" w:lineRule="exact"/>
        <w:ind w:firstLine="640" w:firstLineChars="200"/>
        <w:rPr>
          <w:rFonts w:hint="default" w:ascii="Times New Roman" w:hAnsi="Times New Roman" w:cs="Times New Roman"/>
        </w:rPr>
        <w:sectPr>
          <w:headerReference r:id="rId3" w:type="default"/>
          <w:footerReference r:id="rId5" w:type="default"/>
          <w:headerReference r:id="rId4" w:type="even"/>
          <w:footerReference r:id="rId6" w:type="even"/>
          <w:pgSz w:w="11906" w:h="16838"/>
          <w:pgMar w:top="1701" w:right="1361" w:bottom="1474" w:left="1474" w:header="284" w:footer="1418" w:gutter="0"/>
          <w:lnNumType w:countBy="0" w:distance="360"/>
          <w:pgNumType w:fmt="decimal" w:start="7"/>
          <w:cols w:space="720" w:num="1"/>
          <w:docGrid w:type="lines" w:linePitch="435" w:charSpace="0"/>
        </w:sectPr>
      </w:pPr>
    </w:p>
    <w:p>
      <w:pPr>
        <w:adjustRightInd w:val="0"/>
        <w:snapToGrid w:val="0"/>
        <w:spacing w:line="590" w:lineRule="exact"/>
        <w:rPr>
          <w:rFonts w:hint="eastAsia" w:ascii="黑体" w:hAnsi="黑体" w:eastAsia="黑体" w:cs="黑体"/>
        </w:rPr>
      </w:pPr>
      <w:r>
        <w:rPr>
          <w:rFonts w:hint="eastAsia" w:ascii="黑体" w:hAnsi="黑体" w:eastAsia="黑体" w:cs="黑体"/>
        </w:rPr>
        <w:t>附表1</w:t>
      </w:r>
    </w:p>
    <w:p>
      <w:pPr>
        <w:adjustRightInd w:val="0"/>
        <w:snapToGrid w:val="0"/>
        <w:rPr>
          <w:rFonts w:hint="default" w:ascii="Times New Roman" w:hAnsi="Times New Roman" w:cs="Times New Roman"/>
        </w:rPr>
      </w:pPr>
    </w:p>
    <w:p>
      <w:pPr>
        <w:adjustRightInd w:val="0"/>
        <w:snapToGrid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2022年学校卫生国家随机监督抽查工作计划表</w:t>
      </w:r>
    </w:p>
    <w:p>
      <w:pPr>
        <w:adjustRightInd w:val="0"/>
        <w:snapToGrid w:val="0"/>
        <w:rPr>
          <w:rFonts w:hint="default" w:ascii="Times New Roman" w:hAnsi="Times New Roman" w:cs="Times New Roman"/>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1100"/>
        <w:gridCol w:w="9003"/>
        <w:gridCol w:w="3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监督检查对象</w:t>
            </w:r>
          </w:p>
        </w:tc>
        <w:tc>
          <w:tcPr>
            <w:tcW w:w="0" w:type="auto"/>
            <w:tcBorders>
              <w:top w:val="single" w:color="auto" w:sz="4" w:space="0"/>
              <w:left w:val="single" w:color="auto" w:sz="4" w:space="0"/>
              <w:bottom w:val="single" w:color="auto" w:sz="4" w:space="0"/>
              <w:right w:val="single" w:color="auto" w:sz="4" w:space="0"/>
            </w:tcBorders>
            <w:noWrap w:val="0"/>
            <w:vAlign w:val="center"/>
          </w:tcPr>
          <w:p>
            <w:pPr>
              <w:keepNext/>
              <w:keepLines/>
              <w:widowControl/>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范围和数量</w:t>
            </w:r>
          </w:p>
        </w:tc>
        <w:tc>
          <w:tcPr>
            <w:tcW w:w="0" w:type="auto"/>
            <w:tcBorders>
              <w:top w:val="single" w:color="auto" w:sz="4" w:space="0"/>
              <w:left w:val="single" w:color="auto" w:sz="4" w:space="0"/>
              <w:bottom w:val="single" w:color="auto" w:sz="4" w:space="0"/>
              <w:right w:val="single" w:color="auto" w:sz="4" w:space="0"/>
            </w:tcBorders>
            <w:noWrap w:val="0"/>
            <w:vAlign w:val="center"/>
          </w:tcPr>
          <w:p>
            <w:pPr>
              <w:keepNext/>
              <w:keepLines/>
              <w:widowControl/>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检查内容</w:t>
            </w:r>
          </w:p>
        </w:tc>
        <w:tc>
          <w:tcPr>
            <w:tcW w:w="0" w:type="auto"/>
            <w:tcBorders>
              <w:top w:val="single" w:color="auto" w:sz="4" w:space="0"/>
              <w:left w:val="single" w:color="auto" w:sz="4" w:space="0"/>
              <w:bottom w:val="single" w:color="auto" w:sz="4" w:space="0"/>
              <w:right w:val="single" w:color="auto" w:sz="4" w:space="0"/>
            </w:tcBorders>
            <w:noWrap w:val="0"/>
            <w:vAlign w:val="center"/>
          </w:tcPr>
          <w:p>
            <w:pPr>
              <w:keepNext/>
              <w:keepLines/>
              <w:widowControl/>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9" w:hRule="atLeast"/>
          <w:jc w:val="center"/>
        </w:trPr>
        <w:tc>
          <w:tcPr>
            <w:tcW w:w="0" w:type="auto"/>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中小学校及高校</w:t>
            </w:r>
          </w:p>
        </w:tc>
        <w:tc>
          <w:tcPr>
            <w:tcW w:w="0" w:type="auto"/>
            <w:tcBorders>
              <w:top w:val="single" w:color="auto" w:sz="4" w:space="0"/>
              <w:left w:val="single" w:color="auto" w:sz="4" w:space="0"/>
              <w:bottom w:val="single" w:color="auto" w:sz="4" w:space="0"/>
              <w:right w:val="single" w:color="auto" w:sz="4" w:space="0"/>
            </w:tcBorders>
            <w:noWrap w:val="0"/>
            <w:vAlign w:val="center"/>
          </w:tcPr>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辖区学校总数的15％</w:t>
            </w:r>
            <w:r>
              <w:rPr>
                <w:rFonts w:hint="default" w:ascii="Times New Roman" w:hAnsi="Times New Roman" w:cs="Times New Roman"/>
                <w:sz w:val="24"/>
                <w:vertAlign w:val="superscript"/>
              </w:rPr>
              <w:t>(a)</w:t>
            </w:r>
          </w:p>
        </w:tc>
        <w:tc>
          <w:tcPr>
            <w:tcW w:w="0" w:type="auto"/>
            <w:tcBorders>
              <w:top w:val="single" w:color="auto" w:sz="4" w:space="0"/>
              <w:left w:val="single" w:color="auto" w:sz="4" w:space="0"/>
              <w:bottom w:val="single" w:color="auto" w:sz="4" w:space="0"/>
              <w:right w:val="single" w:color="auto" w:sz="4" w:space="0"/>
            </w:tcBorders>
            <w:noWrap w:val="0"/>
            <w:vAlign w:val="center"/>
          </w:tcPr>
          <w:p>
            <w:pPr>
              <w:keepNext/>
              <w:keepLines/>
              <w:widowControl/>
              <w:adjustRightInd w:val="0"/>
              <w:snapToGrid w:val="0"/>
              <w:rPr>
                <w:rFonts w:hint="default" w:ascii="Times New Roman" w:hAnsi="Times New Roman" w:cs="Times New Roman"/>
                <w:sz w:val="24"/>
                <w:vertAlign w:val="superscript"/>
              </w:rPr>
            </w:pPr>
            <w:r>
              <w:rPr>
                <w:rFonts w:hint="default" w:ascii="Times New Roman" w:hAnsi="Times New Roman" w:cs="Times New Roman"/>
                <w:sz w:val="24"/>
              </w:rPr>
              <w:t>1.学校落实教学和生活环境卫生要求情况，包括教室课桌椅配备</w:t>
            </w:r>
            <w:r>
              <w:rPr>
                <w:rFonts w:hint="default" w:ascii="Times New Roman" w:hAnsi="Times New Roman" w:cs="Times New Roman"/>
                <w:sz w:val="24"/>
                <w:vertAlign w:val="superscript"/>
              </w:rPr>
              <w:t>(b)</w:t>
            </w:r>
            <w:r>
              <w:rPr>
                <w:rFonts w:hint="default" w:ascii="Times New Roman" w:hAnsi="Times New Roman" w:cs="Times New Roman"/>
                <w:sz w:val="24"/>
              </w:rPr>
              <w:t>、教室采光和照明</w:t>
            </w:r>
            <w:r>
              <w:rPr>
                <w:rFonts w:hint="default" w:ascii="Times New Roman" w:hAnsi="Times New Roman" w:cs="Times New Roman"/>
                <w:sz w:val="24"/>
                <w:vertAlign w:val="superscript"/>
              </w:rPr>
              <w:t>(c)</w:t>
            </w:r>
            <w:r>
              <w:rPr>
                <w:rFonts w:hint="default" w:ascii="Times New Roman" w:hAnsi="Times New Roman" w:cs="Times New Roman"/>
                <w:sz w:val="24"/>
              </w:rPr>
              <w:t>、教室人均面积、教室和宿舍通风设施、教学楼厕所及洗手设施设置等情况。学校提供的学习用品达标情况</w:t>
            </w:r>
            <w:r>
              <w:rPr>
                <w:rFonts w:hint="default" w:ascii="Times New Roman" w:hAnsi="Times New Roman" w:cs="Times New Roman"/>
                <w:sz w:val="24"/>
                <w:vertAlign w:val="superscript"/>
              </w:rPr>
              <w:t>(d)</w:t>
            </w:r>
            <w:r>
              <w:rPr>
                <w:rFonts w:hint="default" w:ascii="Times New Roman" w:hAnsi="Times New Roman" w:cs="Times New Roman"/>
                <w:sz w:val="24"/>
              </w:rPr>
              <w:t>，包括教室灯具、考试试卷等情况；</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2.学校落实传染病和常见病防控要求情况，包括专人负责疫情报告、传染病防控“一案八制”</w:t>
            </w:r>
            <w:r>
              <w:rPr>
                <w:rFonts w:hint="default" w:ascii="Times New Roman" w:hAnsi="Times New Roman" w:cs="Times New Roman"/>
                <w:sz w:val="24"/>
                <w:vertAlign w:val="superscript"/>
              </w:rPr>
              <w:t>(e)</w:t>
            </w:r>
            <w:r>
              <w:rPr>
                <w:rFonts w:hint="default" w:ascii="Times New Roman" w:hAnsi="Times New Roman" w:cs="Times New Roman"/>
                <w:sz w:val="24"/>
              </w:rPr>
              <w:t>、晨检记录和因病缺勤病因追查与登记记录、复课证明查验、新生入学接种证查验登记、每年按规定实施学生健康体检等情况。学校新冠疫情常态化防控措施落实情况；</w:t>
            </w:r>
            <w:r>
              <w:rPr>
                <w:rFonts w:hint="default" w:ascii="Times New Roman" w:hAnsi="Times New Roman" w:cs="Times New Roman"/>
                <w:sz w:val="24"/>
                <w:vertAlign w:val="superscript"/>
              </w:rPr>
              <w:t>(f)</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3.学校落实饮用水卫生要求情况，包括使用自建设施集中式供水的学校落实水源卫生防护、配备使用水质消毒设施设备情况和使用二次供水的学校防止蓄水池周围污染和按规定开展蓄水池清洗消毒情况；</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4.学校纳入卫生监督协管服务情况。</w:t>
            </w:r>
          </w:p>
        </w:tc>
        <w:tc>
          <w:tcPr>
            <w:tcW w:w="0" w:type="auto"/>
            <w:tcBorders>
              <w:top w:val="single" w:color="auto" w:sz="4" w:space="0"/>
              <w:left w:val="single" w:color="auto" w:sz="4" w:space="0"/>
              <w:bottom w:val="single" w:color="auto" w:sz="4" w:space="0"/>
              <w:right w:val="single" w:color="auto" w:sz="4" w:space="0"/>
            </w:tcBorders>
            <w:noWrap w:val="0"/>
            <w:vAlign w:val="center"/>
          </w:tcPr>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1.教室采光照明、教室人均面积、学校自制考试试卷纸张D65亮度及D65荧光亮度、字体字号、行空。</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2.学校自建设施集中式供水和二次供水水质色度、浑浊度、臭和味、肉眼可见物、pH和消毒剂余量。</w:t>
            </w:r>
          </w:p>
        </w:tc>
      </w:tr>
    </w:tbl>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a.按抽查任务的50％进行检测。</w:t>
      </w:r>
    </w:p>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b.指每间教室至少设有2种不同高低型号的课桌椅，且每人一席。</w:t>
      </w:r>
    </w:p>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c.教室采光和照明检查项目含窗地面积比、采光方向、防眩光措施、装设人工照明、黑板局部照明灯设置、课桌面照度及均匀度、黑板照度及均匀度，按照《中小学校教室采光和照明卫生标准》（GB7793）的规定进行达标判定。</w:t>
      </w:r>
    </w:p>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d.指达到《儿童青少年学习用品近视防控卫生要求》（GB40070）相关规定情况。</w:t>
      </w:r>
    </w:p>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e.指《中小学校传染病预防控制工作管理规范》（GB28932）第4.8条规定的传染病预防控制应急预案和相关制度。</w:t>
      </w:r>
    </w:p>
    <w:p>
      <w:pPr>
        <w:adjustRightInd w:val="0"/>
        <w:snapToGrid w:val="0"/>
        <w:ind w:left="147" w:hanging="147" w:hangingChars="70"/>
        <w:rPr>
          <w:rFonts w:hint="default" w:ascii="Times New Roman" w:hAnsi="Times New Roman" w:cs="Times New Roman"/>
          <w:sz w:val="21"/>
          <w:szCs w:val="21"/>
        </w:rPr>
        <w:sectPr>
          <w:footerReference r:id="rId7" w:type="default"/>
          <w:pgSz w:w="16838" w:h="11905" w:orient="landscape"/>
          <w:pgMar w:top="1134" w:right="1134" w:bottom="1134" w:left="1134" w:header="283" w:footer="851" w:gutter="0"/>
          <w:pgNumType w:fmt="decimal"/>
          <w:cols w:space="720" w:num="1"/>
          <w:docGrid w:type="lines" w:linePitch="439" w:charSpace="0"/>
        </w:sectPr>
      </w:pPr>
      <w:r>
        <w:rPr>
          <w:rFonts w:hint="default" w:ascii="Times New Roman" w:hAnsi="Times New Roman" w:cs="Times New Roman"/>
          <w:sz w:val="21"/>
          <w:szCs w:val="21"/>
        </w:rPr>
        <w:t>f.落实属地新冠疫情常态化防控措施要求即为合格。</w:t>
      </w:r>
    </w:p>
    <w:p>
      <w:pPr>
        <w:adjustRightInd w:val="0"/>
        <w:snapToGrid w:val="0"/>
        <w:spacing w:line="590" w:lineRule="exact"/>
        <w:rPr>
          <w:rFonts w:hint="eastAsia" w:ascii="黑体" w:hAnsi="黑体" w:eastAsia="黑体" w:cs="黑体"/>
        </w:rPr>
      </w:pPr>
      <w:r>
        <w:rPr>
          <w:rFonts w:hint="eastAsia" w:ascii="黑体" w:hAnsi="黑体" w:eastAsia="黑体" w:cs="黑体"/>
        </w:rPr>
        <w:t>附表2</w:t>
      </w:r>
    </w:p>
    <w:p>
      <w:pPr>
        <w:adjustRightInd w:val="0"/>
        <w:snapToGrid w:val="0"/>
        <w:rPr>
          <w:rFonts w:hint="default" w:ascii="Times New Roman" w:hAnsi="Times New Roman" w:cs="Times New Roman"/>
        </w:rPr>
      </w:pPr>
    </w:p>
    <w:p>
      <w:pPr>
        <w:adjustRightInd w:val="0"/>
        <w:snapToGrid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2022年公共场所卫生国家随机监督抽查工作计划表</w:t>
      </w:r>
    </w:p>
    <w:p>
      <w:pPr>
        <w:adjustRightInd w:val="0"/>
        <w:snapToGrid w:val="0"/>
        <w:rPr>
          <w:rFonts w:hint="default" w:ascii="Times New Roman" w:hAnsi="Times New Roman" w:cs="Times New Roman"/>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1"/>
        <w:gridCol w:w="2904"/>
        <w:gridCol w:w="4520"/>
        <w:gridCol w:w="5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Header/>
          <w:jc w:val="center"/>
        </w:trPr>
        <w:tc>
          <w:tcPr>
            <w:tcW w:w="174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监督检查对象</w:t>
            </w:r>
          </w:p>
        </w:tc>
        <w:tc>
          <w:tcPr>
            <w:tcW w:w="290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抽查范围和数量</w:t>
            </w:r>
          </w:p>
        </w:tc>
        <w:tc>
          <w:tcPr>
            <w:tcW w:w="452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检查内容</w:t>
            </w:r>
          </w:p>
        </w:tc>
        <w:tc>
          <w:tcPr>
            <w:tcW w:w="5607"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sz w:val="24"/>
              </w:rPr>
            </w:pPr>
            <w:r>
              <w:rPr>
                <w:rFonts w:hint="default" w:ascii="Times New Roman" w:hAnsi="Times New Roman" w:cs="Times New Roman"/>
                <w:sz w:val="24"/>
              </w:rPr>
              <w:t>游泳场所</w:t>
            </w:r>
          </w:p>
        </w:tc>
        <w:tc>
          <w:tcPr>
            <w:tcW w:w="290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rPr>
                <w:rFonts w:hint="default" w:ascii="Times New Roman" w:hAnsi="Times New Roman" w:cs="Times New Roman"/>
                <w:sz w:val="24"/>
              </w:rPr>
            </w:pPr>
            <w:r>
              <w:rPr>
                <w:rFonts w:hint="default" w:ascii="Times New Roman" w:hAnsi="Times New Roman" w:cs="Times New Roman"/>
                <w:sz w:val="24"/>
              </w:rPr>
              <w:t>辖区全部人工游泳场所（含学校内游泳场所）</w:t>
            </w:r>
            <w:r>
              <w:rPr>
                <w:rFonts w:hint="default" w:ascii="Times New Roman" w:hAnsi="Times New Roman" w:cs="Times New Roman"/>
                <w:sz w:val="24"/>
                <w:vertAlign w:val="superscript"/>
              </w:rPr>
              <w:t>(a)</w:t>
            </w:r>
          </w:p>
        </w:tc>
        <w:tc>
          <w:tcPr>
            <w:tcW w:w="4520" w:type="dxa"/>
            <w:vMerge w:val="restart"/>
            <w:tcBorders>
              <w:top w:val="single" w:color="auto" w:sz="4" w:space="0"/>
              <w:left w:val="single" w:color="auto" w:sz="4" w:space="0"/>
              <w:bottom w:val="single" w:color="auto" w:sz="4" w:space="0"/>
              <w:right w:val="single" w:color="auto" w:sz="4" w:space="0"/>
            </w:tcBorders>
            <w:noWrap w:val="0"/>
            <w:vAlign w:val="center"/>
          </w:tcPr>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1.设置卫生管理部门或人员情况；</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2.建立卫生管理档案情况；</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3.从业人员健康体检情况；</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4.设置禁止吸烟警语标志情况；</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5.对空气、水质、顾客用品用具等进行卫生检测情况；</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6.公示卫生许可证、卫生信誉度等级和卫生检测信息情况；</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7.对顾客用品用具进行清洗、消毒、保洁情况；</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8.实施卫生监督量化分级管理情况；</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9.住宿场所按照《艾滋病防治条例》放置安全套或者设置安全套发售设施情况；</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10.生活美容场所违法开展医疗美容情况；</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11.公共场所新冠疫情常态化防控措施落实情况。</w:t>
            </w:r>
            <w:r>
              <w:rPr>
                <w:rFonts w:hint="default" w:ascii="Times New Roman" w:hAnsi="Times New Roman" w:cs="Times New Roman"/>
                <w:sz w:val="24"/>
                <w:vertAlign w:val="superscript"/>
              </w:rPr>
              <w:t>(b)</w:t>
            </w:r>
          </w:p>
        </w:tc>
        <w:tc>
          <w:tcPr>
            <w:tcW w:w="5607" w:type="dxa"/>
            <w:tcBorders>
              <w:top w:val="single" w:color="auto" w:sz="4" w:space="0"/>
              <w:left w:val="single" w:color="auto" w:sz="4" w:space="0"/>
              <w:bottom w:val="single" w:color="auto" w:sz="4" w:space="0"/>
              <w:right w:val="single" w:color="auto" w:sz="4" w:space="0"/>
            </w:tcBorders>
            <w:noWrap w:val="0"/>
            <w:vAlign w:val="center"/>
          </w:tcPr>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1.泳池水浑浊度、pH、游离性余氯、尿素、菌落总数、大肠菌群</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2.浸脚池水游离性余氯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sz w:val="24"/>
              </w:rPr>
            </w:pPr>
            <w:r>
              <w:rPr>
                <w:rFonts w:hint="default" w:ascii="Times New Roman" w:hAnsi="Times New Roman" w:cs="Times New Roman"/>
                <w:sz w:val="24"/>
              </w:rPr>
              <w:t>住宿场所</w:t>
            </w:r>
          </w:p>
        </w:tc>
        <w:tc>
          <w:tcPr>
            <w:tcW w:w="290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rPr>
                <w:rFonts w:hint="default" w:ascii="Times New Roman" w:hAnsi="Times New Roman" w:cs="Times New Roman"/>
                <w:sz w:val="24"/>
              </w:rPr>
            </w:pPr>
            <w:r>
              <w:rPr>
                <w:rFonts w:hint="default" w:ascii="Times New Roman" w:hAnsi="Times New Roman" w:cs="Times New Roman"/>
                <w:sz w:val="24"/>
              </w:rPr>
              <w:t>辖区总数10％</w:t>
            </w:r>
            <w:r>
              <w:rPr>
                <w:rFonts w:hint="default" w:ascii="Times New Roman" w:hAnsi="Times New Roman" w:cs="Times New Roman"/>
                <w:sz w:val="24"/>
                <w:vertAlign w:val="superscript"/>
              </w:rPr>
              <w:t>(a)</w:t>
            </w:r>
          </w:p>
        </w:tc>
        <w:tc>
          <w:tcPr>
            <w:tcW w:w="452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hint="default" w:ascii="Times New Roman" w:hAnsi="Times New Roman" w:cs="Times New Roman"/>
                <w:sz w:val="24"/>
              </w:rPr>
            </w:pPr>
          </w:p>
        </w:tc>
        <w:tc>
          <w:tcPr>
            <w:tcW w:w="5607" w:type="dxa"/>
            <w:tcBorders>
              <w:top w:val="single" w:color="auto" w:sz="4" w:space="0"/>
              <w:left w:val="single" w:color="auto" w:sz="4" w:space="0"/>
              <w:bottom w:val="single" w:color="auto" w:sz="4" w:space="0"/>
              <w:right w:val="single" w:color="auto" w:sz="4" w:space="0"/>
            </w:tcBorders>
            <w:noWrap w:val="0"/>
            <w:vAlign w:val="center"/>
          </w:tcPr>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1.棉织品外观、细菌总数、大肠菌群、金黄色葡萄球菌、pH</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2.杯具外观、细菌总数、大肠菌群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sz w:val="24"/>
              </w:rPr>
            </w:pPr>
            <w:r>
              <w:rPr>
                <w:rFonts w:hint="default" w:ascii="Times New Roman" w:hAnsi="Times New Roman" w:cs="Times New Roman"/>
                <w:sz w:val="24"/>
              </w:rPr>
              <w:t>沐浴场所</w:t>
            </w:r>
          </w:p>
        </w:tc>
        <w:tc>
          <w:tcPr>
            <w:tcW w:w="29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Times New Roman" w:hAnsi="Times New Roman" w:cs="Times New Roman"/>
                <w:sz w:val="24"/>
              </w:rPr>
            </w:pPr>
            <w:r>
              <w:rPr>
                <w:rFonts w:hint="default" w:ascii="Times New Roman" w:hAnsi="Times New Roman" w:cs="Times New Roman"/>
                <w:sz w:val="24"/>
              </w:rPr>
              <w:t>辖区总数5％</w:t>
            </w:r>
            <w:r>
              <w:rPr>
                <w:rFonts w:hint="default" w:ascii="Times New Roman" w:hAnsi="Times New Roman" w:cs="Times New Roman"/>
                <w:sz w:val="24"/>
                <w:vertAlign w:val="superscript"/>
              </w:rPr>
              <w:t>(a)</w:t>
            </w:r>
          </w:p>
        </w:tc>
        <w:tc>
          <w:tcPr>
            <w:tcW w:w="452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hint="default" w:ascii="Times New Roman" w:hAnsi="Times New Roman" w:cs="Times New Roman"/>
                <w:sz w:val="24"/>
              </w:rPr>
            </w:pPr>
          </w:p>
        </w:tc>
        <w:tc>
          <w:tcPr>
            <w:tcW w:w="5607" w:type="dxa"/>
            <w:tcBorders>
              <w:top w:val="single" w:color="auto" w:sz="4" w:space="0"/>
              <w:left w:val="single" w:color="auto" w:sz="4" w:space="0"/>
              <w:bottom w:val="single" w:color="auto" w:sz="4" w:space="0"/>
              <w:right w:val="single" w:color="auto" w:sz="4" w:space="0"/>
            </w:tcBorders>
            <w:noWrap w:val="0"/>
            <w:vAlign w:val="center"/>
          </w:tcPr>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1.棉织品外观、细菌总数、大肠菌群、金黄色葡萄球菌、pH</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2.沐浴用水嗜肺军团菌、池水浊度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sz w:val="24"/>
              </w:rPr>
            </w:pPr>
            <w:r>
              <w:rPr>
                <w:rFonts w:hint="default" w:ascii="Times New Roman" w:hAnsi="Times New Roman" w:cs="Times New Roman"/>
                <w:sz w:val="24"/>
              </w:rPr>
              <w:t>美容美发场所</w:t>
            </w:r>
          </w:p>
        </w:tc>
        <w:tc>
          <w:tcPr>
            <w:tcW w:w="290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rPr>
                <w:rFonts w:hint="default" w:ascii="Times New Roman" w:hAnsi="Times New Roman" w:cs="Times New Roman"/>
                <w:sz w:val="24"/>
              </w:rPr>
            </w:pPr>
            <w:r>
              <w:rPr>
                <w:rFonts w:hint="default" w:ascii="Times New Roman" w:hAnsi="Times New Roman" w:cs="Times New Roman"/>
                <w:sz w:val="24"/>
              </w:rPr>
              <w:t>辖区总数4％</w:t>
            </w:r>
            <w:r>
              <w:rPr>
                <w:rFonts w:hint="default" w:ascii="Times New Roman" w:hAnsi="Times New Roman" w:cs="Times New Roman"/>
                <w:sz w:val="24"/>
                <w:vertAlign w:val="superscript"/>
              </w:rPr>
              <w:t>(a)</w:t>
            </w:r>
          </w:p>
        </w:tc>
        <w:tc>
          <w:tcPr>
            <w:tcW w:w="452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hint="default" w:ascii="Times New Roman" w:hAnsi="Times New Roman" w:cs="Times New Roman"/>
                <w:sz w:val="24"/>
              </w:rPr>
            </w:pPr>
          </w:p>
        </w:tc>
        <w:tc>
          <w:tcPr>
            <w:tcW w:w="5607" w:type="dxa"/>
            <w:tcBorders>
              <w:top w:val="single" w:color="auto" w:sz="4" w:space="0"/>
              <w:left w:val="single" w:color="auto" w:sz="4" w:space="0"/>
              <w:bottom w:val="single" w:color="auto" w:sz="4" w:space="0"/>
              <w:right w:val="single" w:color="auto" w:sz="4" w:space="0"/>
            </w:tcBorders>
            <w:noWrap w:val="0"/>
            <w:vAlign w:val="center"/>
          </w:tcPr>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1.美容美发工具细菌总数、大肠菌群、金黄色葡萄球菌</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2.棉织品外观、细菌总数、大肠菌群、金黄色葡萄球菌、pH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8" w:hRule="atLeast"/>
          <w:jc w:val="center"/>
        </w:trPr>
        <w:tc>
          <w:tcPr>
            <w:tcW w:w="174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sz w:val="24"/>
              </w:rPr>
            </w:pPr>
            <w:r>
              <w:rPr>
                <w:rFonts w:hint="default" w:ascii="Times New Roman" w:hAnsi="Times New Roman" w:cs="Times New Roman"/>
                <w:sz w:val="24"/>
              </w:rPr>
              <w:t>其他公共场所</w:t>
            </w:r>
          </w:p>
        </w:tc>
        <w:tc>
          <w:tcPr>
            <w:tcW w:w="290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rPr>
                <w:rFonts w:hint="default" w:ascii="Times New Roman" w:hAnsi="Times New Roman" w:cs="Times New Roman"/>
                <w:sz w:val="24"/>
              </w:rPr>
            </w:pPr>
            <w:r>
              <w:rPr>
                <w:rFonts w:hint="default" w:ascii="Times New Roman" w:hAnsi="Times New Roman" w:cs="Times New Roman"/>
                <w:sz w:val="24"/>
              </w:rPr>
              <w:t>辖区全部候车（机、船）室。</w:t>
            </w:r>
          </w:p>
          <w:p>
            <w:pPr>
              <w:widowControl/>
              <w:adjustRightInd w:val="0"/>
              <w:snapToGrid w:val="0"/>
              <w:rPr>
                <w:rFonts w:hint="default" w:ascii="Times New Roman" w:hAnsi="Times New Roman" w:cs="Times New Roman"/>
                <w:sz w:val="24"/>
              </w:rPr>
            </w:pPr>
            <w:r>
              <w:rPr>
                <w:rFonts w:hint="default" w:ascii="Times New Roman" w:hAnsi="Times New Roman" w:cs="Times New Roman"/>
                <w:sz w:val="24"/>
              </w:rPr>
              <w:t>辖区营业面积2000m</w:t>
            </w:r>
            <w:r>
              <w:rPr>
                <w:rFonts w:hint="default" w:ascii="Times New Roman" w:hAnsi="Times New Roman" w:cs="Times New Roman"/>
                <w:sz w:val="24"/>
                <w:vertAlign w:val="superscript"/>
              </w:rPr>
              <w:t>2</w:t>
            </w:r>
            <w:r>
              <w:rPr>
                <w:rFonts w:hint="default" w:ascii="Times New Roman" w:hAnsi="Times New Roman" w:cs="Times New Roman"/>
                <w:sz w:val="24"/>
              </w:rPr>
              <w:t>以上商场（超市）60户，影剧院40户，游艺厅、歌舞厅、音乐厅共80户，数量不足的全部检查。</w:t>
            </w:r>
            <w:r>
              <w:rPr>
                <w:rFonts w:hint="default" w:ascii="Times New Roman" w:hAnsi="Times New Roman" w:cs="Times New Roman"/>
                <w:sz w:val="24"/>
                <w:vertAlign w:val="superscript"/>
              </w:rPr>
              <w:t>(a)</w:t>
            </w:r>
          </w:p>
        </w:tc>
        <w:tc>
          <w:tcPr>
            <w:tcW w:w="452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hint="default" w:ascii="Times New Roman" w:hAnsi="Times New Roman" w:cs="Times New Roman"/>
                <w:sz w:val="24"/>
              </w:rPr>
            </w:pPr>
          </w:p>
        </w:tc>
        <w:tc>
          <w:tcPr>
            <w:tcW w:w="5607" w:type="dxa"/>
            <w:tcBorders>
              <w:top w:val="single" w:color="auto" w:sz="4" w:space="0"/>
              <w:left w:val="single" w:color="auto" w:sz="4" w:space="0"/>
              <w:bottom w:val="single" w:color="auto" w:sz="4" w:space="0"/>
              <w:right w:val="single" w:color="auto" w:sz="4" w:space="0"/>
            </w:tcBorders>
            <w:noWrap w:val="0"/>
            <w:vAlign w:val="center"/>
          </w:tcPr>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室内空气中CO</w:t>
            </w:r>
            <w:r>
              <w:rPr>
                <w:rFonts w:hint="default" w:ascii="Times New Roman" w:hAnsi="Times New Roman" w:cs="Times New Roman"/>
                <w:sz w:val="24"/>
                <w:vertAlign w:val="subscript"/>
              </w:rPr>
              <w:t>2</w:t>
            </w:r>
            <w:r>
              <w:rPr>
                <w:rFonts w:hint="default" w:ascii="Times New Roman" w:hAnsi="Times New Roman" w:cs="Times New Roman"/>
                <w:sz w:val="24"/>
              </w:rPr>
              <w:t>、甲醛、苯、甲苯、二甲苯</w:t>
            </w:r>
            <w:r>
              <w:rPr>
                <w:rFonts w:hint="default" w:ascii="Times New Roman" w:hAnsi="Times New Roman" w:cs="Times New Roman"/>
                <w:sz w:val="24"/>
                <w:vertAlign w:val="superscript"/>
              </w:rPr>
              <w:t>(e)</w:t>
            </w:r>
          </w:p>
          <w:p>
            <w:pPr>
              <w:keepNext/>
              <w:keepLines/>
              <w:widowControl/>
              <w:adjustRightInd w:val="0"/>
              <w:snapToGrid w:val="0"/>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sz w:val="24"/>
              </w:rPr>
            </w:pPr>
            <w:r>
              <w:rPr>
                <w:rFonts w:hint="default" w:ascii="Times New Roman" w:hAnsi="Times New Roman" w:cs="Times New Roman"/>
                <w:sz w:val="24"/>
              </w:rPr>
              <w:t>集中空调</w:t>
            </w:r>
          </w:p>
        </w:tc>
        <w:tc>
          <w:tcPr>
            <w:tcW w:w="290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rPr>
                <w:rFonts w:hint="default" w:ascii="Times New Roman" w:hAnsi="Times New Roman" w:cs="Times New Roman"/>
                <w:sz w:val="24"/>
              </w:rPr>
            </w:pPr>
            <w:r>
              <w:rPr>
                <w:rFonts w:hint="default" w:ascii="Times New Roman" w:hAnsi="Times New Roman" w:cs="Times New Roman"/>
                <w:sz w:val="24"/>
              </w:rPr>
              <w:t>辖区已抽取公共场所中使用集中空调通风系统的全部检查；其中抽取30户进行检测，数量不足的全部检测</w:t>
            </w:r>
          </w:p>
        </w:tc>
        <w:tc>
          <w:tcPr>
            <w:tcW w:w="4520" w:type="dxa"/>
            <w:tcBorders>
              <w:top w:val="single" w:color="auto" w:sz="4" w:space="0"/>
              <w:left w:val="single" w:color="auto" w:sz="4" w:space="0"/>
              <w:bottom w:val="single" w:color="auto" w:sz="4" w:space="0"/>
              <w:right w:val="single" w:color="auto" w:sz="4" w:space="0"/>
            </w:tcBorders>
            <w:noWrap w:val="0"/>
            <w:vAlign w:val="center"/>
          </w:tcPr>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1.建立集中空调通风系统卫生档案；</w:t>
            </w:r>
            <w:r>
              <w:rPr>
                <w:rFonts w:hint="default" w:ascii="Times New Roman" w:hAnsi="Times New Roman" w:cs="Times New Roman"/>
                <w:sz w:val="24"/>
                <w:vertAlign w:val="superscript"/>
              </w:rPr>
              <w:t>(c)</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2.建立预防空气传播性疾病应急预案情况；</w:t>
            </w:r>
            <w:r>
              <w:rPr>
                <w:rFonts w:hint="default" w:ascii="Times New Roman" w:hAnsi="Times New Roman" w:cs="Times New Roman"/>
                <w:sz w:val="24"/>
                <w:vertAlign w:val="superscript"/>
              </w:rPr>
              <w:t>(c)</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3.开展集中空调通风系统卫生检测或卫生学评价情况；</w:t>
            </w:r>
            <w:r>
              <w:rPr>
                <w:rFonts w:hint="default" w:ascii="Times New Roman" w:hAnsi="Times New Roman" w:cs="Times New Roman"/>
                <w:sz w:val="24"/>
                <w:vertAlign w:val="superscript"/>
              </w:rPr>
              <w:t>(d)</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4.开展集中空调通风系统清洗消毒情况；</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5.新风口、开放式冷却塔依标准设置情况。</w:t>
            </w:r>
          </w:p>
        </w:tc>
        <w:tc>
          <w:tcPr>
            <w:tcW w:w="5607" w:type="dxa"/>
            <w:tcBorders>
              <w:top w:val="single" w:color="auto" w:sz="4" w:space="0"/>
              <w:left w:val="single" w:color="auto" w:sz="4" w:space="0"/>
              <w:bottom w:val="single" w:color="auto" w:sz="4" w:space="0"/>
              <w:right w:val="single" w:color="auto" w:sz="4" w:space="0"/>
            </w:tcBorders>
            <w:noWrap w:val="0"/>
            <w:vAlign w:val="center"/>
          </w:tcPr>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1.风管内表面积尘量、细菌总数、真菌总数</w:t>
            </w:r>
            <w:r>
              <w:rPr>
                <w:rFonts w:hint="default" w:ascii="Times New Roman" w:hAnsi="Times New Roman" w:cs="Times New Roman"/>
                <w:sz w:val="24"/>
                <w:vertAlign w:val="superscript"/>
              </w:rPr>
              <w:t>(f)</w:t>
            </w:r>
          </w:p>
          <w:p>
            <w:pPr>
              <w:keepNext/>
              <w:keepLines/>
              <w:widowControl/>
              <w:adjustRightInd w:val="0"/>
              <w:snapToGrid w:val="0"/>
              <w:rPr>
                <w:rFonts w:hint="default" w:ascii="Times New Roman" w:hAnsi="Times New Roman" w:cs="Times New Roman"/>
                <w:sz w:val="24"/>
              </w:rPr>
            </w:pPr>
            <w:r>
              <w:rPr>
                <w:rFonts w:hint="default" w:ascii="Times New Roman" w:hAnsi="Times New Roman" w:cs="Times New Roman"/>
                <w:sz w:val="24"/>
              </w:rPr>
              <w:t>2.冷却水中嗜肺军团菌</w:t>
            </w:r>
            <w:r>
              <w:rPr>
                <w:rFonts w:hint="default" w:ascii="Times New Roman" w:hAnsi="Times New Roman" w:cs="Times New Roman"/>
                <w:sz w:val="24"/>
                <w:vertAlign w:val="superscript"/>
              </w:rPr>
              <w:t>(g)</w:t>
            </w:r>
          </w:p>
        </w:tc>
      </w:tr>
    </w:tbl>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a.游泳场所按抽查任务的100％进行检测，住宿场所、沐浴场所、其他公共场所按抽查任务的50％进行检测，美容美发场所按抽查任务的20%进行检测。</w:t>
      </w:r>
    </w:p>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b.落实属地新冠疫情常态化防控措施要求即为合格。</w:t>
      </w:r>
    </w:p>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c.指《公共场所集中空调通风系统卫生规范》（WS394－2012）规定的集中空调通风系统卫生档案和预防空气传播性疾病应急预案。</w:t>
      </w:r>
    </w:p>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d.使用单位需提供集中空调通风系统卫生检测报告复印件。</w:t>
      </w:r>
    </w:p>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e.只对6个月内进行过室内大面积装修的场所检测甲醛、苯、甲苯、二甲苯项目。</w:t>
      </w:r>
    </w:p>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f.使用无风管集中空调通风系统的，该指标合理缺项。</w:t>
      </w:r>
    </w:p>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g.使用非开放式冷却塔集中空调通风系统的，该指标合理缺项。</w:t>
      </w:r>
    </w:p>
    <w:p>
      <w:pPr>
        <w:rPr>
          <w:rFonts w:hint="default" w:ascii="Times New Roman" w:hAnsi="Times New Roman" w:cs="Times New Roman"/>
        </w:rPr>
        <w:sectPr>
          <w:pgSz w:w="16838" w:h="11905" w:orient="landscape"/>
          <w:pgMar w:top="1134" w:right="1134" w:bottom="1134" w:left="1134" w:header="284" w:footer="851" w:gutter="0"/>
          <w:pgNumType w:fmt="decimal"/>
          <w:cols w:space="720" w:num="1"/>
          <w:docGrid w:type="linesAndChars" w:linePitch="439" w:charSpace="0"/>
        </w:sectPr>
      </w:pPr>
    </w:p>
    <w:p>
      <w:pPr>
        <w:adjustRightInd w:val="0"/>
        <w:snapToGrid w:val="0"/>
        <w:spacing w:line="590" w:lineRule="exact"/>
        <w:rPr>
          <w:rFonts w:hint="eastAsia" w:ascii="黑体" w:hAnsi="黑体" w:eastAsia="黑体" w:cs="黑体"/>
        </w:rPr>
      </w:pPr>
      <w:r>
        <w:rPr>
          <w:rFonts w:hint="eastAsia" w:ascii="黑体" w:hAnsi="黑体" w:eastAsia="黑体" w:cs="黑体"/>
        </w:rPr>
        <w:t>附表3</w:t>
      </w:r>
    </w:p>
    <w:p>
      <w:pPr>
        <w:adjustRightInd w:val="0"/>
        <w:snapToGrid w:val="0"/>
        <w:rPr>
          <w:rFonts w:hint="default" w:ascii="Times New Roman" w:hAnsi="Times New Roman" w:cs="Times New Roman"/>
        </w:rPr>
      </w:pPr>
    </w:p>
    <w:p>
      <w:pPr>
        <w:adjustRightInd w:val="0"/>
        <w:snapToGrid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2022年生活饮用水卫生国家随机监督抽查工作计划表</w:t>
      </w:r>
    </w:p>
    <w:p>
      <w:pPr>
        <w:adjustRightInd w:val="0"/>
        <w:snapToGrid w:val="0"/>
        <w:rPr>
          <w:rFonts w:hint="eastAsia" w:ascii="方正小标宋简体" w:hAnsi="方正小标宋简体" w:eastAsia="方正小标宋简体" w:cs="方正小标宋简体"/>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6159"/>
        <w:gridCol w:w="4284"/>
        <w:gridCol w:w="2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监督检查对象</w:t>
            </w:r>
            <w:r>
              <w:rPr>
                <w:rFonts w:hint="default" w:ascii="Times New Roman" w:hAnsi="Times New Roman" w:eastAsia="黑体" w:cs="Times New Roman"/>
                <w:sz w:val="24"/>
                <w:vertAlign w:val="superscript"/>
              </w:rPr>
              <w:t>(a)</w:t>
            </w:r>
          </w:p>
        </w:tc>
        <w:tc>
          <w:tcPr>
            <w:tcW w:w="61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范围和数量</w:t>
            </w:r>
          </w:p>
        </w:tc>
        <w:tc>
          <w:tcPr>
            <w:tcW w:w="4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检查内容</w:t>
            </w:r>
          </w:p>
        </w:tc>
        <w:tc>
          <w:tcPr>
            <w:tcW w:w="20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城市集中式供水</w:t>
            </w:r>
          </w:p>
        </w:tc>
        <w:tc>
          <w:tcPr>
            <w:tcW w:w="61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Times New Roman" w:hAnsi="Times New Roman" w:cs="Times New Roman"/>
                <w:sz w:val="24"/>
              </w:rPr>
            </w:pPr>
            <w:r>
              <w:rPr>
                <w:rFonts w:hint="default" w:ascii="Times New Roman" w:hAnsi="Times New Roman" w:cs="Times New Roman"/>
                <w:sz w:val="24"/>
              </w:rPr>
              <w:t>辖区城市城区和县城的全部水厂</w:t>
            </w:r>
          </w:p>
        </w:tc>
        <w:tc>
          <w:tcPr>
            <w:tcW w:w="4284"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default" w:ascii="Times New Roman" w:hAnsi="Times New Roman" w:cs="Times New Roman"/>
                <w:sz w:val="24"/>
              </w:rPr>
            </w:pPr>
            <w:r>
              <w:rPr>
                <w:rFonts w:hint="default" w:ascii="Times New Roman" w:hAnsi="Times New Roman" w:cs="Times New Roman"/>
                <w:sz w:val="24"/>
              </w:rPr>
              <w:t>1.持有卫生许可证情况</w:t>
            </w:r>
          </w:p>
          <w:p>
            <w:pPr>
              <w:adjustRightInd w:val="0"/>
              <w:snapToGrid w:val="0"/>
              <w:jc w:val="left"/>
              <w:rPr>
                <w:rFonts w:hint="default" w:ascii="Times New Roman" w:hAnsi="Times New Roman" w:cs="Times New Roman"/>
                <w:sz w:val="24"/>
              </w:rPr>
            </w:pPr>
            <w:r>
              <w:rPr>
                <w:rFonts w:hint="default" w:ascii="Times New Roman" w:hAnsi="Times New Roman" w:cs="Times New Roman"/>
                <w:sz w:val="24"/>
              </w:rPr>
              <w:t>2.水源卫生防护情况</w:t>
            </w:r>
          </w:p>
          <w:p>
            <w:pPr>
              <w:adjustRightInd w:val="0"/>
              <w:snapToGrid w:val="0"/>
              <w:jc w:val="left"/>
              <w:rPr>
                <w:rFonts w:hint="default" w:ascii="Times New Roman" w:hAnsi="Times New Roman" w:cs="Times New Roman"/>
                <w:sz w:val="24"/>
              </w:rPr>
            </w:pPr>
            <w:r>
              <w:rPr>
                <w:rFonts w:hint="default" w:ascii="Times New Roman" w:hAnsi="Times New Roman" w:cs="Times New Roman"/>
                <w:sz w:val="24"/>
              </w:rPr>
              <w:t>3.供管水人员健康体检和培训情况</w:t>
            </w:r>
          </w:p>
          <w:p>
            <w:pPr>
              <w:adjustRightInd w:val="0"/>
              <w:snapToGrid w:val="0"/>
              <w:jc w:val="left"/>
              <w:rPr>
                <w:rFonts w:hint="default" w:ascii="Times New Roman" w:hAnsi="Times New Roman" w:cs="Times New Roman"/>
                <w:sz w:val="24"/>
              </w:rPr>
            </w:pPr>
            <w:r>
              <w:rPr>
                <w:rFonts w:hint="default" w:ascii="Times New Roman" w:hAnsi="Times New Roman" w:cs="Times New Roman"/>
                <w:sz w:val="24"/>
              </w:rPr>
              <w:t>4.涉水产品卫生许可批件情况</w:t>
            </w:r>
          </w:p>
          <w:p>
            <w:pPr>
              <w:adjustRightInd w:val="0"/>
              <w:snapToGrid w:val="0"/>
              <w:rPr>
                <w:rFonts w:hint="default" w:ascii="Times New Roman" w:hAnsi="Times New Roman" w:cs="Times New Roman"/>
                <w:sz w:val="24"/>
              </w:rPr>
            </w:pPr>
            <w:r>
              <w:rPr>
                <w:rFonts w:hint="default" w:ascii="Times New Roman" w:hAnsi="Times New Roman" w:cs="Times New Roman"/>
                <w:sz w:val="24"/>
              </w:rPr>
              <w:t>5.水质消毒情况</w:t>
            </w:r>
          </w:p>
          <w:p>
            <w:pPr>
              <w:adjustRightInd w:val="0"/>
              <w:snapToGrid w:val="0"/>
              <w:jc w:val="left"/>
              <w:rPr>
                <w:rFonts w:hint="default" w:ascii="Times New Roman" w:hAnsi="Times New Roman" w:cs="Times New Roman"/>
                <w:sz w:val="24"/>
              </w:rPr>
            </w:pPr>
            <w:r>
              <w:rPr>
                <w:rFonts w:hint="default" w:ascii="Times New Roman" w:hAnsi="Times New Roman" w:cs="Times New Roman"/>
                <w:sz w:val="24"/>
              </w:rPr>
              <w:t>6.水质自检情况</w:t>
            </w:r>
            <w:r>
              <w:rPr>
                <w:rFonts w:hint="default" w:ascii="Times New Roman" w:hAnsi="Times New Roman" w:cs="Times New Roman"/>
                <w:sz w:val="24"/>
                <w:vertAlign w:val="superscript"/>
              </w:rPr>
              <w:t>(d)</w:t>
            </w:r>
          </w:p>
        </w:tc>
        <w:tc>
          <w:tcPr>
            <w:tcW w:w="2019"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Times New Roman" w:hAnsi="Times New Roman" w:cs="Times New Roman"/>
                <w:sz w:val="24"/>
              </w:rPr>
            </w:pPr>
            <w:r>
              <w:rPr>
                <w:rFonts w:hint="default" w:ascii="Times New Roman" w:hAnsi="Times New Roman" w:cs="Times New Roman"/>
                <w:sz w:val="24"/>
              </w:rPr>
              <w:t>出厂水色度、浑浊度、臭和味、肉眼可见物、pH和消毒剂余量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农村集中式供水</w:t>
            </w:r>
            <w:r>
              <w:rPr>
                <w:rFonts w:hint="default" w:ascii="Times New Roman" w:hAnsi="Times New Roman" w:cs="Times New Roman"/>
                <w:sz w:val="24"/>
                <w:vertAlign w:val="superscript"/>
              </w:rPr>
              <w:t>(b)</w:t>
            </w:r>
          </w:p>
        </w:tc>
        <w:tc>
          <w:tcPr>
            <w:tcW w:w="61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Times New Roman" w:hAnsi="Times New Roman" w:cs="Times New Roman"/>
                <w:sz w:val="24"/>
              </w:rPr>
            </w:pPr>
            <w:r>
              <w:rPr>
                <w:rFonts w:hint="default" w:ascii="Times New Roman" w:hAnsi="Times New Roman" w:cs="Times New Roman"/>
                <w:sz w:val="24"/>
              </w:rPr>
              <w:t>辖区农村全部设计日供水1000m</w:t>
            </w:r>
            <w:r>
              <w:rPr>
                <w:rFonts w:hint="default" w:ascii="Times New Roman" w:hAnsi="Times New Roman" w:cs="Times New Roman"/>
                <w:sz w:val="24"/>
                <w:vertAlign w:val="superscript"/>
              </w:rPr>
              <w:t>3</w:t>
            </w:r>
            <w:r>
              <w:rPr>
                <w:rFonts w:hint="default" w:ascii="Times New Roman" w:hAnsi="Times New Roman" w:cs="Times New Roman"/>
                <w:sz w:val="24"/>
              </w:rPr>
              <w:t>以上水厂</w:t>
            </w:r>
          </w:p>
        </w:tc>
        <w:tc>
          <w:tcPr>
            <w:tcW w:w="4284"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default" w:ascii="Times New Roman" w:hAnsi="Times New Roman" w:cs="Times New Roman"/>
                <w:sz w:val="24"/>
              </w:rPr>
            </w:pPr>
          </w:p>
        </w:tc>
        <w:tc>
          <w:tcPr>
            <w:tcW w:w="2019"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小型集中式供水</w:t>
            </w:r>
          </w:p>
        </w:tc>
        <w:tc>
          <w:tcPr>
            <w:tcW w:w="61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Times New Roman" w:hAnsi="Times New Roman" w:cs="Times New Roman"/>
                <w:sz w:val="24"/>
              </w:rPr>
            </w:pPr>
            <w:r>
              <w:rPr>
                <w:rFonts w:hint="default" w:ascii="Times New Roman" w:hAnsi="Times New Roman" w:cs="Times New Roman"/>
                <w:sz w:val="24"/>
              </w:rPr>
              <w:t>每个县、县级市辖区在用小型集中式供水的乡镇数的至少30％</w:t>
            </w:r>
            <w:r>
              <w:rPr>
                <w:rFonts w:hint="default" w:ascii="Times New Roman" w:hAnsi="Times New Roman" w:cs="Times New Roman"/>
                <w:sz w:val="24"/>
                <w:vertAlign w:val="superscript"/>
              </w:rPr>
              <w:t>(c)</w:t>
            </w:r>
            <w:r>
              <w:rPr>
                <w:rFonts w:hint="default" w:ascii="Times New Roman" w:hAnsi="Times New Roman" w:cs="Times New Roman"/>
                <w:sz w:val="24"/>
              </w:rPr>
              <w:t>，每个乡镇抽查30％的设计日供水100m</w:t>
            </w:r>
            <w:r>
              <w:rPr>
                <w:rFonts w:hint="default" w:ascii="Times New Roman" w:hAnsi="Times New Roman" w:cs="Times New Roman"/>
                <w:sz w:val="24"/>
                <w:vertAlign w:val="superscript"/>
              </w:rPr>
              <w:t>3</w:t>
            </w:r>
            <w:r>
              <w:rPr>
                <w:rFonts w:hint="default" w:ascii="Times New Roman" w:hAnsi="Times New Roman" w:cs="Times New Roman"/>
                <w:sz w:val="24"/>
              </w:rPr>
              <w:t>以上水厂</w:t>
            </w:r>
            <w:r>
              <w:rPr>
                <w:rFonts w:hint="default" w:ascii="Times New Roman" w:hAnsi="Times New Roman" w:cs="Times New Roman"/>
                <w:sz w:val="24"/>
                <w:vertAlign w:val="superscript"/>
              </w:rPr>
              <w:t>(c)</w:t>
            </w:r>
          </w:p>
        </w:tc>
        <w:tc>
          <w:tcPr>
            <w:tcW w:w="4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default" w:ascii="Times New Roman" w:hAnsi="Times New Roman" w:cs="Times New Roman"/>
                <w:sz w:val="24"/>
              </w:rPr>
            </w:pPr>
            <w:r>
              <w:rPr>
                <w:rFonts w:hint="default" w:ascii="Times New Roman" w:hAnsi="Times New Roman" w:cs="Times New Roman"/>
                <w:sz w:val="24"/>
              </w:rPr>
              <w:t>1.饮用水卫生安全巡查服务开展情况</w:t>
            </w:r>
          </w:p>
          <w:p>
            <w:pPr>
              <w:adjustRightInd w:val="0"/>
              <w:snapToGrid w:val="0"/>
              <w:jc w:val="left"/>
              <w:rPr>
                <w:rFonts w:hint="default" w:ascii="Times New Roman" w:hAnsi="Times New Roman" w:cs="Times New Roman"/>
                <w:sz w:val="24"/>
              </w:rPr>
            </w:pPr>
            <w:r>
              <w:rPr>
                <w:rFonts w:hint="default" w:ascii="Times New Roman" w:hAnsi="Times New Roman" w:cs="Times New Roman"/>
                <w:sz w:val="24"/>
              </w:rPr>
              <w:t>2.持有卫生许可证情况</w:t>
            </w:r>
          </w:p>
          <w:p>
            <w:pPr>
              <w:adjustRightInd w:val="0"/>
              <w:snapToGrid w:val="0"/>
              <w:jc w:val="left"/>
              <w:rPr>
                <w:rFonts w:hint="default" w:ascii="Times New Roman" w:hAnsi="Times New Roman" w:cs="Times New Roman"/>
                <w:sz w:val="24"/>
              </w:rPr>
            </w:pPr>
            <w:r>
              <w:rPr>
                <w:rFonts w:hint="default" w:ascii="Times New Roman" w:hAnsi="Times New Roman" w:cs="Times New Roman"/>
                <w:sz w:val="24"/>
              </w:rPr>
              <w:t>3.处罚情况</w:t>
            </w:r>
          </w:p>
        </w:tc>
        <w:tc>
          <w:tcPr>
            <w:tcW w:w="2019"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4"/>
              </w:rPr>
            </w:pPr>
            <w:r>
              <w:rPr>
                <w:rFonts w:hint="default" w:ascii="Times New Roman" w:hAnsi="Times New Roman" w:cs="Times New Roman"/>
                <w:sz w:val="24"/>
              </w:rPr>
              <w:t>二次供水</w:t>
            </w:r>
          </w:p>
        </w:tc>
        <w:tc>
          <w:tcPr>
            <w:tcW w:w="61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default" w:ascii="Times New Roman" w:hAnsi="Times New Roman" w:cs="Times New Roman"/>
                <w:sz w:val="24"/>
              </w:rPr>
            </w:pPr>
            <w:r>
              <w:rPr>
                <w:rFonts w:hint="default" w:ascii="Times New Roman" w:hAnsi="Times New Roman" w:cs="Times New Roman"/>
                <w:sz w:val="24"/>
              </w:rPr>
              <w:t>每个县（区）10个二次供水设施，不足10个的全部检查</w:t>
            </w:r>
            <w:r>
              <w:rPr>
                <w:rFonts w:hint="default" w:ascii="Times New Roman" w:hAnsi="Times New Roman" w:cs="Times New Roman"/>
                <w:sz w:val="24"/>
                <w:vertAlign w:val="superscript"/>
              </w:rPr>
              <w:t>(c)</w:t>
            </w:r>
          </w:p>
        </w:tc>
        <w:tc>
          <w:tcPr>
            <w:tcW w:w="4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default" w:ascii="Times New Roman" w:hAnsi="Times New Roman" w:cs="Times New Roman"/>
                <w:sz w:val="24"/>
              </w:rPr>
            </w:pPr>
            <w:r>
              <w:rPr>
                <w:rFonts w:hint="default" w:ascii="Times New Roman" w:hAnsi="Times New Roman" w:cs="Times New Roman"/>
                <w:sz w:val="24"/>
              </w:rPr>
              <w:t>1.供管水人员健康体检和培训情况</w:t>
            </w:r>
          </w:p>
          <w:p>
            <w:pPr>
              <w:adjustRightInd w:val="0"/>
              <w:snapToGrid w:val="0"/>
              <w:jc w:val="left"/>
              <w:rPr>
                <w:rFonts w:hint="default" w:ascii="Times New Roman" w:hAnsi="Times New Roman" w:cs="Times New Roman"/>
                <w:sz w:val="24"/>
              </w:rPr>
            </w:pPr>
            <w:r>
              <w:rPr>
                <w:rFonts w:hint="default" w:ascii="Times New Roman" w:hAnsi="Times New Roman" w:cs="Times New Roman"/>
                <w:sz w:val="24"/>
              </w:rPr>
              <w:t>2.设施防护及周围环境情况</w:t>
            </w:r>
          </w:p>
          <w:p>
            <w:pPr>
              <w:adjustRightInd w:val="0"/>
              <w:snapToGrid w:val="0"/>
              <w:jc w:val="left"/>
              <w:rPr>
                <w:rFonts w:hint="default" w:ascii="Times New Roman" w:hAnsi="Times New Roman" w:cs="Times New Roman"/>
                <w:sz w:val="24"/>
              </w:rPr>
            </w:pPr>
            <w:r>
              <w:rPr>
                <w:rFonts w:hint="default" w:ascii="Times New Roman" w:hAnsi="Times New Roman" w:cs="Times New Roman"/>
                <w:sz w:val="24"/>
              </w:rPr>
              <w:t>3.储水设备定期清洗消毒情况</w:t>
            </w:r>
          </w:p>
          <w:p>
            <w:pPr>
              <w:adjustRightInd w:val="0"/>
              <w:snapToGrid w:val="0"/>
              <w:jc w:val="left"/>
              <w:rPr>
                <w:rFonts w:hint="default" w:ascii="Times New Roman" w:hAnsi="Times New Roman" w:cs="Times New Roman"/>
                <w:sz w:val="24"/>
              </w:rPr>
            </w:pPr>
            <w:r>
              <w:rPr>
                <w:rFonts w:hint="default" w:ascii="Times New Roman" w:hAnsi="Times New Roman" w:cs="Times New Roman"/>
                <w:sz w:val="24"/>
              </w:rPr>
              <w:t>4.水质自检情况</w:t>
            </w:r>
            <w:r>
              <w:rPr>
                <w:rFonts w:hint="default" w:ascii="Times New Roman" w:hAnsi="Times New Roman" w:cs="Times New Roman"/>
                <w:sz w:val="24"/>
                <w:vertAlign w:val="superscript"/>
              </w:rPr>
              <w:t>(d)</w:t>
            </w:r>
          </w:p>
          <w:p>
            <w:pPr>
              <w:adjustRightInd w:val="0"/>
              <w:snapToGrid w:val="0"/>
              <w:jc w:val="left"/>
              <w:rPr>
                <w:rFonts w:hint="default" w:ascii="Times New Roman" w:hAnsi="Times New Roman" w:cs="Times New Roman"/>
                <w:sz w:val="24"/>
              </w:rPr>
            </w:pPr>
            <w:r>
              <w:rPr>
                <w:rFonts w:hint="default" w:ascii="Times New Roman" w:hAnsi="Times New Roman" w:cs="Times New Roman"/>
                <w:sz w:val="24"/>
              </w:rPr>
              <w:t>5.饮用水卫生安全巡查服务开展情况</w:t>
            </w:r>
          </w:p>
        </w:tc>
        <w:tc>
          <w:tcPr>
            <w:tcW w:w="20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ascii="Times New Roman" w:hAnsi="Times New Roman" w:cs="Times New Roman"/>
                <w:sz w:val="24"/>
              </w:rPr>
            </w:pPr>
            <w:r>
              <w:rPr>
                <w:rFonts w:hint="default" w:ascii="Times New Roman" w:hAnsi="Times New Roman" w:cs="Times New Roman"/>
                <w:sz w:val="24"/>
              </w:rPr>
              <w:t>出水色度、浑浊度、臭和味、肉眼可见物、pH和消毒剂余量</w:t>
            </w:r>
          </w:p>
        </w:tc>
      </w:tr>
    </w:tbl>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a.不含学校内的自建设施集中式供水和二次供水。</w:t>
      </w:r>
    </w:p>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b.农村集中式供水为监督检查信息卡上标记类别为“乡镇”的集中式供水。</w:t>
      </w:r>
    </w:p>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c.各地在综合卫生监督档案、饮用水卫生安全巡查档案或记录以及相关调查资料等信息的基础上自行制定清单并实施双随机抽查：抽查每个县、县级市辖区在用小型集中式供水的乡镇数的至少30％并完成附表6；对所抽取的每个乡镇抽查30％的设计日供水100 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以上水厂并完成附表7。</w:t>
      </w:r>
    </w:p>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d.水质自检包括委托检测。</w:t>
      </w:r>
    </w:p>
    <w:p>
      <w:pPr>
        <w:rPr>
          <w:rFonts w:hint="default" w:ascii="Times New Roman" w:hAnsi="Times New Roman" w:cs="Times New Roman"/>
        </w:rPr>
        <w:sectPr>
          <w:pgSz w:w="16838" w:h="11905" w:orient="landscape"/>
          <w:pgMar w:top="1134" w:right="1134" w:bottom="1134" w:left="1134" w:header="284" w:footer="851" w:gutter="0"/>
          <w:pgNumType w:fmt="decimal"/>
          <w:cols w:space="720" w:num="1"/>
          <w:docGrid w:type="lines" w:linePitch="439" w:charSpace="0"/>
        </w:sectPr>
      </w:pPr>
    </w:p>
    <w:p>
      <w:pPr>
        <w:rPr>
          <w:rFonts w:hint="eastAsia" w:ascii="黑体" w:hAnsi="黑体" w:eastAsia="黑体" w:cs="黑体"/>
          <w:b w:val="0"/>
          <w:bCs w:val="0"/>
        </w:rPr>
      </w:pPr>
      <w:r>
        <w:rPr>
          <w:rFonts w:hint="eastAsia" w:ascii="黑体" w:hAnsi="黑体" w:eastAsia="黑体" w:cs="黑体"/>
          <w:b w:val="0"/>
          <w:bCs w:val="0"/>
        </w:rPr>
        <w:t>附表4</w:t>
      </w:r>
    </w:p>
    <w:p>
      <w:pPr>
        <w:jc w:val="center"/>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sz w:val="44"/>
          <w:szCs w:val="44"/>
        </w:rPr>
        <w:t>2022年涉水产品福建省随机监督抽查计划表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9"/>
        <w:gridCol w:w="843"/>
        <w:gridCol w:w="572"/>
        <w:gridCol w:w="5616"/>
        <w:gridCol w:w="3649"/>
        <w:gridCol w:w="3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spacing w:line="32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序号</w:t>
            </w:r>
          </w:p>
        </w:tc>
        <w:tc>
          <w:tcPr>
            <w:tcW w:w="0" w:type="auto"/>
            <w:gridSpan w:val="2"/>
            <w:noWrap w:val="0"/>
            <w:vAlign w:val="center"/>
          </w:tcPr>
          <w:p>
            <w:pPr>
              <w:spacing w:line="32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类型</w:t>
            </w:r>
          </w:p>
        </w:tc>
        <w:tc>
          <w:tcPr>
            <w:tcW w:w="0" w:type="auto"/>
            <w:noWrap w:val="0"/>
            <w:vAlign w:val="center"/>
          </w:tcPr>
          <w:p>
            <w:pPr>
              <w:spacing w:line="32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采样地点与数量</w:t>
            </w:r>
          </w:p>
        </w:tc>
        <w:tc>
          <w:tcPr>
            <w:tcW w:w="0" w:type="auto"/>
            <w:noWrap w:val="0"/>
            <w:vAlign w:val="center"/>
          </w:tcPr>
          <w:p>
            <w:pPr>
              <w:spacing w:line="32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检查（检测）项目/责任单位</w:t>
            </w:r>
          </w:p>
        </w:tc>
        <w:tc>
          <w:tcPr>
            <w:tcW w:w="0" w:type="auto"/>
            <w:noWrap w:val="0"/>
            <w:vAlign w:val="center"/>
          </w:tcPr>
          <w:p>
            <w:pPr>
              <w:spacing w:line="32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送样/报告日期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spacing w:line="3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w:t>
            </w:r>
          </w:p>
        </w:tc>
        <w:tc>
          <w:tcPr>
            <w:tcW w:w="0" w:type="auto"/>
            <w:gridSpan w:val="2"/>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输配水设备</w:t>
            </w:r>
          </w:p>
        </w:tc>
        <w:tc>
          <w:tcPr>
            <w:tcW w:w="0" w:type="auto"/>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xml:space="preserve">1.管材：采集直径小于或等于25mm的管材配管件（每个品种1m×40根）； </w:t>
            </w:r>
          </w:p>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2.水箱：采集模拟水箱（20cm3）或模块（50cm×50cm×3cm）4个；</w:t>
            </w:r>
          </w:p>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3.其它管：直径≧20cm×35cm封底4个。 每个企业抽查1-3个产品。</w:t>
            </w:r>
          </w:p>
        </w:tc>
        <w:tc>
          <w:tcPr>
            <w:tcW w:w="0" w:type="auto"/>
            <w:vMerge w:val="restart"/>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xml:space="preserve">1.生产企业符合《涉及饮用水卫生安全产品生产企业卫生规范》情况（监督机构负责） </w:t>
            </w:r>
          </w:p>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xml:space="preserve">2.产品卫生许可批件、标签、说明书（监督机构负责） </w:t>
            </w:r>
          </w:p>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xml:space="preserve">3.产品卫生安全性检测（省疾控中心负责） </w:t>
            </w:r>
          </w:p>
        </w:tc>
        <w:tc>
          <w:tcPr>
            <w:tcW w:w="0" w:type="auto"/>
            <w:vMerge w:val="restart"/>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xml:space="preserve">各地于8月底前将样品送至省监督所，省监督所9月10日前送至省疾控中心，省疾控中心9月底前出具检测报告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spacing w:line="3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w:t>
            </w:r>
          </w:p>
        </w:tc>
        <w:tc>
          <w:tcPr>
            <w:tcW w:w="0" w:type="auto"/>
            <w:gridSpan w:val="2"/>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水处理材料</w:t>
            </w:r>
          </w:p>
        </w:tc>
        <w:tc>
          <w:tcPr>
            <w:tcW w:w="0" w:type="auto"/>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xml:space="preserve">1.活性炭每种产品4份，每份大于500g； </w:t>
            </w:r>
          </w:p>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2.滤芯每种产品16支（直径&lt;3cm的32支）。每个企业抽查1-3个产品。</w:t>
            </w: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spacing w:line="3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w:t>
            </w:r>
          </w:p>
        </w:tc>
        <w:tc>
          <w:tcPr>
            <w:tcW w:w="0" w:type="auto"/>
            <w:gridSpan w:val="2"/>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化学处理剂</w:t>
            </w:r>
          </w:p>
        </w:tc>
        <w:tc>
          <w:tcPr>
            <w:tcW w:w="0" w:type="auto"/>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xml:space="preserve">1.每种产品4份，每份净含量大于500g或500ml。 </w:t>
            </w:r>
          </w:p>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2.消毒剂产品应抽于有效期限前15天的产品。每个企业抽查1-3个产品。</w:t>
            </w: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spacing w:line="3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w:t>
            </w:r>
          </w:p>
        </w:tc>
        <w:tc>
          <w:tcPr>
            <w:tcW w:w="0" w:type="auto"/>
            <w:gridSpan w:val="2"/>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进口涉水产品</w:t>
            </w:r>
          </w:p>
        </w:tc>
        <w:tc>
          <w:tcPr>
            <w:tcW w:w="0" w:type="auto"/>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抽检在华责任单位（名单详见表6），每个单位抽检产品。水质处理器每种产品抽4台；管材、滤芯：抽检数量同上。每个企业抽查1-3个产品。</w:t>
            </w: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spacing w:line="3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5</w:t>
            </w:r>
          </w:p>
        </w:tc>
        <w:tc>
          <w:tcPr>
            <w:tcW w:w="0" w:type="auto"/>
            <w:vMerge w:val="restart"/>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水质处理器</w:t>
            </w:r>
          </w:p>
        </w:tc>
        <w:tc>
          <w:tcPr>
            <w:tcW w:w="0" w:type="auto"/>
            <w:vMerge w:val="restart"/>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小型</w:t>
            </w:r>
          </w:p>
        </w:tc>
        <w:tc>
          <w:tcPr>
            <w:tcW w:w="0" w:type="auto"/>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每种产品抽4台。如为龙头净水器应相应增加（满足12升水量的2倍）。每个企业抽查1-2个产品。</w:t>
            </w: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spacing w:line="3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6</w:t>
            </w: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c>
          <w:tcPr>
            <w:tcW w:w="0" w:type="auto"/>
            <w:noWrap w:val="0"/>
            <w:vAlign w:val="center"/>
          </w:tcPr>
          <w:p>
            <w:pPr>
              <w:snapToGrid w:val="0"/>
              <w:spacing w:line="28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各设区市（包括平潭综合实验区）各抽检10个在主要网络平台从事经销活动的网店，不足的全部抽查，检查网店所有产品。</w:t>
            </w:r>
          </w:p>
        </w:tc>
        <w:tc>
          <w:tcPr>
            <w:tcW w:w="0" w:type="auto"/>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产品卫生许可批件（监督机构负责）</w:t>
            </w:r>
          </w:p>
        </w:tc>
        <w:tc>
          <w:tcPr>
            <w:tcW w:w="0" w:type="auto"/>
            <w:vMerge w:val="restart"/>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spacing w:line="3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w:t>
            </w: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c>
          <w:tcPr>
            <w:tcW w:w="0" w:type="auto"/>
            <w:noWrap w:val="0"/>
            <w:vAlign w:val="center"/>
          </w:tcPr>
          <w:p>
            <w:pPr>
              <w:snapToGrid w:val="0"/>
              <w:spacing w:line="28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各设区市（包括平潭综合实验区）各抽检2个城市商场、超市或专营商店，抽检2个乡镇综合或专营市场。每个单位抽检1－3种产品。</w:t>
            </w:r>
          </w:p>
        </w:tc>
        <w:tc>
          <w:tcPr>
            <w:tcW w:w="0" w:type="auto"/>
            <w:vMerge w:val="restart"/>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xml:space="preserve">1.标签、说明书（监督机构负责） </w:t>
            </w:r>
          </w:p>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2.产品卫生许可批件（监督机构负责）</w:t>
            </w: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0" w:type="auto"/>
            <w:noWrap w:val="0"/>
            <w:vAlign w:val="center"/>
          </w:tcPr>
          <w:p>
            <w:pPr>
              <w:spacing w:line="3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w:t>
            </w: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c>
          <w:tcPr>
            <w:tcW w:w="0" w:type="auto"/>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大型</w:t>
            </w:r>
          </w:p>
        </w:tc>
        <w:tc>
          <w:tcPr>
            <w:tcW w:w="0" w:type="auto"/>
            <w:vMerge w:val="restart"/>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1.检查生产现场是否符合相关生产卫生条件；</w:t>
            </w:r>
          </w:p>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2.是否存在生产无卫生许可的涉水产品；</w:t>
            </w:r>
          </w:p>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3.用于涉水产品组装的部件是否取得相关卫生许可批件或卫生安全合格证明等。</w:t>
            </w: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c>
          <w:tcPr>
            <w:tcW w:w="0" w:type="auto"/>
            <w:vMerge w:val="continue"/>
            <w:noWrap w:val="0"/>
            <w:vAlign w:val="center"/>
          </w:tcPr>
          <w:p>
            <w:pPr>
              <w:spacing w:line="340" w:lineRule="exact"/>
              <w:jc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0" w:type="auto"/>
            <w:noWrap w:val="0"/>
            <w:vAlign w:val="center"/>
          </w:tcPr>
          <w:p>
            <w:pPr>
              <w:spacing w:line="3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w:t>
            </w:r>
          </w:p>
        </w:tc>
        <w:tc>
          <w:tcPr>
            <w:tcW w:w="0" w:type="auto"/>
            <w:gridSpan w:val="2"/>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供水设备</w:t>
            </w: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0" w:type="auto"/>
            <w:noWrap w:val="0"/>
            <w:vAlign w:val="center"/>
          </w:tcPr>
          <w:p>
            <w:pPr>
              <w:spacing w:line="3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10</w:t>
            </w:r>
          </w:p>
        </w:tc>
        <w:tc>
          <w:tcPr>
            <w:tcW w:w="0" w:type="auto"/>
            <w:gridSpan w:val="2"/>
            <w:noWrap w:val="0"/>
            <w:vAlign w:val="center"/>
          </w:tcPr>
          <w:p>
            <w:pPr>
              <w:spacing w:line="3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饮用水消毒设备</w:t>
            </w: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c>
          <w:tcPr>
            <w:tcW w:w="0" w:type="auto"/>
            <w:vMerge w:val="continue"/>
            <w:noWrap w:val="0"/>
            <w:vAlign w:val="center"/>
          </w:tcPr>
          <w:p>
            <w:pPr>
              <w:spacing w:line="340" w:lineRule="exact"/>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0" w:type="auto"/>
            <w:noWrap w:val="0"/>
            <w:vAlign w:val="center"/>
          </w:tcPr>
          <w:p>
            <w:pPr>
              <w:spacing w:line="3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11</w:t>
            </w:r>
          </w:p>
        </w:tc>
        <w:tc>
          <w:tcPr>
            <w:tcW w:w="0" w:type="auto"/>
            <w:gridSpan w:val="2"/>
            <w:noWrap w:val="0"/>
            <w:vAlign w:val="center"/>
          </w:tcPr>
          <w:p>
            <w:pPr>
              <w:adjustRightInd w:val="0"/>
              <w:snapToGrid w:val="0"/>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现制现售饮用水自动售水机</w:t>
            </w:r>
          </w:p>
        </w:tc>
        <w:tc>
          <w:tcPr>
            <w:tcW w:w="0" w:type="auto"/>
            <w:noWrap w:val="0"/>
            <w:vAlign w:val="center"/>
          </w:tcPr>
          <w:p>
            <w:pPr>
              <w:spacing w:line="340" w:lineRule="exact"/>
              <w:rPr>
                <w:rFonts w:hint="eastAsia" w:ascii="仿宋_GB2312" w:hAnsi="仿宋_GB2312" w:eastAsia="仿宋_GB2312" w:cs="仿宋_GB2312"/>
                <w:color w:val="FF0000"/>
                <w:kern w:val="0"/>
                <w:sz w:val="21"/>
                <w:szCs w:val="21"/>
              </w:rPr>
            </w:pPr>
            <w:r>
              <w:rPr>
                <w:rFonts w:hint="eastAsia" w:ascii="仿宋_GB2312" w:hAnsi="仿宋_GB2312" w:eastAsia="仿宋_GB2312" w:cs="仿宋_GB2312"/>
                <w:kern w:val="0"/>
                <w:sz w:val="21"/>
                <w:szCs w:val="21"/>
              </w:rPr>
              <w:t>龙岩市、宁德市、平潭综合实验区辖区内抽检3个经营单位，每个单位抽查1－3个应用现场。</w:t>
            </w:r>
          </w:p>
        </w:tc>
        <w:tc>
          <w:tcPr>
            <w:tcW w:w="0" w:type="auto"/>
            <w:noWrap w:val="0"/>
            <w:vAlign w:val="center"/>
          </w:tcPr>
          <w:p>
            <w:pPr>
              <w:adjustRightInd w:val="0"/>
              <w:snapToGrid w:val="0"/>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1.产品卫生许可批件（监督机构负责）</w:t>
            </w:r>
          </w:p>
          <w:p>
            <w:pPr>
              <w:adjustRightInd w:val="0"/>
              <w:snapToGrid w:val="0"/>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2.出水水质菌落总数、总大肠菌群、色度、浑浊度、臭和味、肉眼可见物、pH、耗氧量等（设区市疾控中心负责）</w:t>
            </w:r>
          </w:p>
        </w:tc>
        <w:tc>
          <w:tcPr>
            <w:tcW w:w="0" w:type="auto"/>
            <w:noWrap w:val="0"/>
            <w:vAlign w:val="center"/>
          </w:tcPr>
          <w:p>
            <w:pPr>
              <w:spacing w:line="340" w:lineRule="exact"/>
              <w:rPr>
                <w:rFonts w:hint="eastAsia" w:ascii="仿宋_GB2312" w:hAnsi="仿宋_GB2312" w:eastAsia="仿宋_GB2312" w:cs="仿宋_GB2312"/>
                <w:color w:val="FF0000"/>
                <w:kern w:val="0"/>
                <w:sz w:val="21"/>
                <w:szCs w:val="21"/>
              </w:rPr>
            </w:pPr>
            <w:r>
              <w:rPr>
                <w:rFonts w:hint="eastAsia" w:ascii="仿宋_GB2312" w:hAnsi="仿宋_GB2312" w:eastAsia="仿宋_GB2312" w:cs="仿宋_GB2312"/>
                <w:kern w:val="0"/>
                <w:sz w:val="21"/>
                <w:szCs w:val="21"/>
              </w:rPr>
              <w:t>10月底前报送检查（检测）结果</w:t>
            </w:r>
          </w:p>
        </w:tc>
      </w:tr>
    </w:tbl>
    <w:p>
      <w:pPr>
        <w:spacing w:line="340" w:lineRule="exac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a.所采集的样品应同一生产日期或同一生产批号；</w:t>
      </w:r>
    </w:p>
    <w:p>
      <w:pPr>
        <w:spacing w:line="340" w:lineRule="exac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b.随样品上交时应附上批件复印件、说明书、采样单；</w:t>
      </w:r>
    </w:p>
    <w:p>
      <w:pPr>
        <w:spacing w:line="340" w:lineRule="exac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c.被抽检单位按附表中的企业进行抽检或督查，如抽检企业无抽检样品应附上未抽检的相关笔录等文书说明理由；</w:t>
      </w:r>
    </w:p>
    <w:p>
      <w:pPr>
        <w:spacing w:line="340" w:lineRule="exac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d.所采集的样品经卫生安全性检测的浸泡实验后均报废且不能回收。</w:t>
      </w:r>
    </w:p>
    <w:p>
      <w:pPr>
        <w:adjustRightInd w:val="0"/>
        <w:snapToGrid w:val="0"/>
        <w:spacing w:line="590" w:lineRule="exact"/>
        <w:rPr>
          <w:rFonts w:hint="eastAsia" w:ascii="仿宋_GB2312" w:hAnsi="仿宋_GB2312" w:eastAsia="仿宋_GB2312" w:cs="仿宋_GB2312"/>
          <w:sz w:val="21"/>
          <w:szCs w:val="21"/>
        </w:rPr>
      </w:pPr>
    </w:p>
    <w:p>
      <w:pPr>
        <w:adjustRightInd w:val="0"/>
        <w:snapToGrid w:val="0"/>
        <w:spacing w:line="590" w:lineRule="exact"/>
        <w:rPr>
          <w:rFonts w:hint="eastAsia" w:ascii="仿宋_GB2312" w:hAnsi="仿宋_GB2312" w:eastAsia="仿宋_GB2312" w:cs="仿宋_GB2312"/>
          <w:sz w:val="21"/>
          <w:szCs w:val="21"/>
        </w:rPr>
      </w:pPr>
    </w:p>
    <w:p>
      <w:pPr>
        <w:adjustRightInd w:val="0"/>
        <w:snapToGrid w:val="0"/>
        <w:spacing w:line="590" w:lineRule="exact"/>
        <w:rPr>
          <w:rFonts w:hint="eastAsia" w:ascii="仿宋_GB2312" w:hAnsi="仿宋_GB2312" w:eastAsia="仿宋_GB2312" w:cs="仿宋_GB2312"/>
          <w:sz w:val="21"/>
          <w:szCs w:val="21"/>
        </w:rPr>
      </w:pPr>
    </w:p>
    <w:p>
      <w:pPr>
        <w:adjustRightInd w:val="0"/>
        <w:snapToGrid w:val="0"/>
        <w:spacing w:line="590" w:lineRule="exact"/>
        <w:rPr>
          <w:rFonts w:hint="default" w:ascii="Times New Roman" w:hAnsi="Times New Roman" w:eastAsia="黑体" w:cs="Times New Roman"/>
          <w:sz w:val="21"/>
          <w:szCs w:val="21"/>
        </w:rPr>
      </w:pPr>
    </w:p>
    <w:p>
      <w:pPr>
        <w:adjustRightInd w:val="0"/>
        <w:snapToGrid w:val="0"/>
        <w:spacing w:line="590" w:lineRule="exact"/>
        <w:rPr>
          <w:rFonts w:hint="default" w:ascii="Times New Roman" w:hAnsi="Times New Roman" w:eastAsia="黑体" w:cs="Times New Roman"/>
          <w:sz w:val="21"/>
          <w:szCs w:val="21"/>
        </w:rPr>
      </w:pPr>
    </w:p>
    <w:p>
      <w:pPr>
        <w:adjustRightInd w:val="0"/>
        <w:snapToGrid w:val="0"/>
        <w:spacing w:line="590" w:lineRule="exact"/>
        <w:rPr>
          <w:rFonts w:hint="default" w:ascii="Times New Roman" w:hAnsi="Times New Roman" w:eastAsia="黑体" w:cs="Times New Roman"/>
          <w:sz w:val="21"/>
          <w:szCs w:val="21"/>
        </w:rPr>
      </w:pPr>
    </w:p>
    <w:p>
      <w:pPr>
        <w:adjustRightInd w:val="0"/>
        <w:snapToGrid w:val="0"/>
        <w:spacing w:line="590" w:lineRule="exact"/>
        <w:rPr>
          <w:rFonts w:hint="default" w:ascii="Times New Roman" w:hAnsi="Times New Roman" w:eastAsia="黑体" w:cs="Times New Roman"/>
          <w:sz w:val="21"/>
          <w:szCs w:val="21"/>
        </w:rPr>
      </w:pPr>
    </w:p>
    <w:p>
      <w:pPr>
        <w:adjustRightInd w:val="0"/>
        <w:snapToGrid w:val="0"/>
        <w:spacing w:line="590" w:lineRule="exact"/>
        <w:rPr>
          <w:rFonts w:hint="default" w:ascii="Times New Roman" w:hAnsi="Times New Roman" w:eastAsia="黑体" w:cs="Times New Roman"/>
        </w:rPr>
      </w:pPr>
    </w:p>
    <w:p>
      <w:pPr>
        <w:adjustRightInd w:val="0"/>
        <w:snapToGrid w:val="0"/>
        <w:spacing w:line="590" w:lineRule="exact"/>
        <w:rPr>
          <w:rFonts w:hint="eastAsia" w:ascii="黑体" w:hAnsi="黑体" w:eastAsia="黑体" w:cs="黑体"/>
        </w:rPr>
      </w:pPr>
      <w:r>
        <w:rPr>
          <w:rFonts w:hint="eastAsia" w:ascii="黑体" w:hAnsi="黑体" w:eastAsia="黑体" w:cs="黑体"/>
        </w:rPr>
        <w:t>附表5</w:t>
      </w:r>
    </w:p>
    <w:p>
      <w:pPr>
        <w:adjustRightInd w:val="0"/>
        <w:snapToGrid w:val="0"/>
        <w:rPr>
          <w:rFonts w:hint="default" w:ascii="Times New Roman" w:hAnsi="Times New Roman" w:cs="Times New Roman"/>
        </w:rPr>
      </w:pPr>
    </w:p>
    <w:p>
      <w:pPr>
        <w:adjustRightInd w:val="0"/>
        <w:snapToGrid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2022年餐具饮具集中消毒服务单位国家随机监督抽查工作计划表</w:t>
      </w:r>
    </w:p>
    <w:p>
      <w:pPr>
        <w:adjustRightInd w:val="0"/>
        <w:snapToGrid w:val="0"/>
        <w:rPr>
          <w:rFonts w:hint="default" w:ascii="Times New Roman" w:hAnsi="Times New Roman" w:cs="Times New Roman"/>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3577"/>
        <w:gridCol w:w="5838"/>
        <w:gridCol w:w="3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4"/>
              </w:rPr>
            </w:pPr>
            <w:r>
              <w:rPr>
                <w:rFonts w:hint="default" w:ascii="Times New Roman" w:hAnsi="Times New Roman" w:eastAsia="黑体" w:cs="Times New Roman"/>
                <w:kern w:val="0"/>
                <w:sz w:val="24"/>
              </w:rPr>
              <w:t>监督检查对象</w:t>
            </w:r>
          </w:p>
        </w:tc>
        <w:tc>
          <w:tcPr>
            <w:tcW w:w="35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4"/>
              </w:rPr>
            </w:pPr>
            <w:r>
              <w:rPr>
                <w:rFonts w:hint="default" w:ascii="Times New Roman" w:hAnsi="Times New Roman" w:eastAsia="黑体" w:cs="Times New Roman"/>
                <w:kern w:val="0"/>
                <w:sz w:val="24"/>
              </w:rPr>
              <w:t>范围和数量</w:t>
            </w:r>
          </w:p>
        </w:tc>
        <w:tc>
          <w:tcPr>
            <w:tcW w:w="58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4"/>
              </w:rPr>
            </w:pPr>
            <w:r>
              <w:rPr>
                <w:rFonts w:hint="default" w:ascii="Times New Roman" w:hAnsi="Times New Roman" w:eastAsia="黑体" w:cs="Times New Roman"/>
                <w:kern w:val="0"/>
                <w:sz w:val="24"/>
              </w:rPr>
              <w:t>检查内容</w:t>
            </w:r>
          </w:p>
        </w:tc>
        <w:tc>
          <w:tcPr>
            <w:tcW w:w="33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4"/>
              </w:rPr>
            </w:pPr>
            <w:r>
              <w:rPr>
                <w:rFonts w:hint="default" w:ascii="Times New Roman" w:hAnsi="Times New Roman" w:eastAsia="黑体" w:cs="Times New Roman"/>
                <w:kern w:val="0"/>
                <w:sz w:val="24"/>
              </w:rPr>
              <w:t>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kern w:val="0"/>
                <w:sz w:val="24"/>
              </w:rPr>
            </w:pPr>
            <w:r>
              <w:rPr>
                <w:rFonts w:hint="eastAsia" w:ascii="仿宋_GB2312" w:hAnsi="仿宋_GB2312" w:cs="仿宋_GB2312"/>
                <w:kern w:val="0"/>
                <w:sz w:val="24"/>
              </w:rPr>
              <w:t>餐具饮具集中消毒服务单位</w:t>
            </w:r>
          </w:p>
        </w:tc>
        <w:tc>
          <w:tcPr>
            <w:tcW w:w="35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_GB2312" w:hAnsi="仿宋_GB2312" w:cs="仿宋_GB2312"/>
                <w:kern w:val="0"/>
                <w:sz w:val="24"/>
              </w:rPr>
            </w:pPr>
            <w:r>
              <w:rPr>
                <w:rFonts w:hint="eastAsia" w:ascii="仿宋_GB2312" w:hAnsi="仿宋_GB2312" w:cs="仿宋_GB2312"/>
                <w:kern w:val="0"/>
                <w:sz w:val="24"/>
              </w:rPr>
              <w:t>辖区总数10％，至少20户，不足20户的全部抽查</w:t>
            </w:r>
          </w:p>
        </w:tc>
        <w:tc>
          <w:tcPr>
            <w:tcW w:w="58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_GB2312" w:hAnsi="仿宋_GB2312" w:cs="仿宋_GB2312"/>
                <w:kern w:val="0"/>
                <w:sz w:val="24"/>
              </w:rPr>
            </w:pPr>
            <w:r>
              <w:rPr>
                <w:rFonts w:hint="eastAsia" w:ascii="仿宋_GB2312" w:hAnsi="仿宋_GB2312" w:cs="仿宋_GB2312"/>
                <w:kern w:val="0"/>
                <w:sz w:val="24"/>
              </w:rPr>
              <w:t>1.用水符合国家饮用水卫生标准情况</w:t>
            </w:r>
            <w:r>
              <w:rPr>
                <w:rFonts w:hint="eastAsia" w:ascii="仿宋_GB2312" w:hAnsi="仿宋_GB2312" w:cs="仿宋_GB2312"/>
                <w:kern w:val="0"/>
                <w:sz w:val="24"/>
                <w:vertAlign w:val="superscript"/>
              </w:rPr>
              <w:t>(a)</w:t>
            </w:r>
          </w:p>
          <w:p>
            <w:pPr>
              <w:adjustRightInd w:val="0"/>
              <w:snapToGrid w:val="0"/>
              <w:rPr>
                <w:rFonts w:hint="eastAsia" w:ascii="仿宋_GB2312" w:hAnsi="仿宋_GB2312" w:cs="仿宋_GB2312"/>
                <w:kern w:val="0"/>
                <w:sz w:val="24"/>
              </w:rPr>
            </w:pPr>
            <w:r>
              <w:rPr>
                <w:rFonts w:hint="eastAsia" w:ascii="仿宋_GB2312" w:hAnsi="仿宋_GB2312" w:cs="仿宋_GB2312"/>
                <w:kern w:val="0"/>
                <w:sz w:val="24"/>
              </w:rPr>
              <w:t>2.使用的洗涤剂、消毒剂符合国家食品安全标准情况</w:t>
            </w:r>
            <w:r>
              <w:rPr>
                <w:rFonts w:hint="eastAsia" w:ascii="仿宋_GB2312" w:hAnsi="仿宋_GB2312" w:cs="仿宋_GB2312"/>
                <w:kern w:val="0"/>
                <w:sz w:val="24"/>
                <w:vertAlign w:val="superscript"/>
              </w:rPr>
              <w:t>(b)</w:t>
            </w:r>
          </w:p>
          <w:p>
            <w:pPr>
              <w:adjustRightInd w:val="0"/>
              <w:snapToGrid w:val="0"/>
              <w:rPr>
                <w:rFonts w:hint="eastAsia" w:ascii="仿宋_GB2312" w:hAnsi="仿宋_GB2312" w:cs="仿宋_GB2312"/>
                <w:kern w:val="0"/>
                <w:sz w:val="24"/>
              </w:rPr>
            </w:pPr>
            <w:r>
              <w:rPr>
                <w:rFonts w:hint="eastAsia" w:ascii="仿宋_GB2312" w:hAnsi="仿宋_GB2312" w:cs="仿宋_GB2312"/>
                <w:kern w:val="0"/>
                <w:sz w:val="24"/>
              </w:rPr>
              <w:t>3.消毒后的餐饮具进行逐批检验情况</w:t>
            </w:r>
          </w:p>
          <w:p>
            <w:pPr>
              <w:adjustRightInd w:val="0"/>
              <w:snapToGrid w:val="0"/>
              <w:rPr>
                <w:rFonts w:hint="eastAsia" w:ascii="仿宋_GB2312" w:hAnsi="仿宋_GB2312" w:cs="仿宋_GB2312"/>
                <w:kern w:val="0"/>
                <w:sz w:val="24"/>
              </w:rPr>
            </w:pPr>
            <w:r>
              <w:rPr>
                <w:rFonts w:hint="eastAsia" w:ascii="仿宋_GB2312" w:hAnsi="仿宋_GB2312" w:cs="仿宋_GB2312"/>
                <w:kern w:val="0"/>
                <w:sz w:val="24"/>
              </w:rPr>
              <w:t>4.建立并遵守餐饮具出厂检验记录制度情况</w:t>
            </w:r>
            <w:r>
              <w:rPr>
                <w:rFonts w:hint="eastAsia" w:ascii="仿宋_GB2312" w:hAnsi="仿宋_GB2312" w:cs="仿宋_GB2312"/>
                <w:kern w:val="0"/>
                <w:sz w:val="24"/>
                <w:vertAlign w:val="superscript"/>
              </w:rPr>
              <w:t>(c)</w:t>
            </w:r>
          </w:p>
        </w:tc>
        <w:tc>
          <w:tcPr>
            <w:tcW w:w="33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kern w:val="0"/>
                <w:sz w:val="24"/>
              </w:rPr>
            </w:pPr>
            <w:r>
              <w:rPr>
                <w:rFonts w:hint="eastAsia" w:ascii="仿宋_GB2312" w:hAnsi="仿宋_GB2312" w:cs="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kern w:val="0"/>
                <w:sz w:val="24"/>
              </w:rPr>
            </w:pPr>
            <w:r>
              <w:rPr>
                <w:rFonts w:hint="eastAsia" w:ascii="仿宋_GB2312" w:hAnsi="仿宋_GB2312" w:cs="仿宋_GB2312"/>
                <w:kern w:val="0"/>
                <w:sz w:val="24"/>
              </w:rPr>
              <w:t>出厂餐饮具</w:t>
            </w:r>
          </w:p>
        </w:tc>
        <w:tc>
          <w:tcPr>
            <w:tcW w:w="35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_GB2312" w:hAnsi="仿宋_GB2312" w:cs="仿宋_GB2312"/>
                <w:kern w:val="0"/>
                <w:sz w:val="24"/>
              </w:rPr>
            </w:pPr>
            <w:r>
              <w:rPr>
                <w:rFonts w:hint="eastAsia" w:ascii="仿宋_GB2312" w:hAnsi="仿宋_GB2312" w:cs="仿宋_GB2312"/>
                <w:kern w:val="0"/>
                <w:sz w:val="24"/>
              </w:rPr>
              <w:t>每个企业抽查1－2个批次出厂餐饮具</w:t>
            </w:r>
          </w:p>
        </w:tc>
        <w:tc>
          <w:tcPr>
            <w:tcW w:w="58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_GB2312" w:hAnsi="仿宋_GB2312" w:cs="仿宋_GB2312"/>
                <w:kern w:val="0"/>
                <w:sz w:val="24"/>
              </w:rPr>
            </w:pPr>
            <w:r>
              <w:rPr>
                <w:rFonts w:hint="eastAsia" w:ascii="仿宋_GB2312" w:hAnsi="仿宋_GB2312" w:cs="仿宋_GB2312"/>
                <w:kern w:val="0"/>
                <w:sz w:val="24"/>
              </w:rPr>
              <w:t>1.出厂餐饮具随附消毒合格证明情况</w:t>
            </w:r>
          </w:p>
          <w:p>
            <w:pPr>
              <w:adjustRightInd w:val="0"/>
              <w:snapToGrid w:val="0"/>
              <w:rPr>
                <w:rFonts w:hint="eastAsia" w:ascii="仿宋_GB2312" w:hAnsi="仿宋_GB2312" w:cs="仿宋_GB2312"/>
                <w:kern w:val="0"/>
                <w:sz w:val="24"/>
              </w:rPr>
            </w:pPr>
            <w:r>
              <w:rPr>
                <w:rFonts w:hint="eastAsia" w:ascii="仿宋_GB2312" w:hAnsi="仿宋_GB2312" w:cs="仿宋_GB2312"/>
                <w:kern w:val="0"/>
                <w:sz w:val="24"/>
              </w:rPr>
              <w:t>2.出厂餐饮具按规定在独立包装上标注相关内容情况</w:t>
            </w:r>
            <w:r>
              <w:rPr>
                <w:rFonts w:hint="eastAsia" w:ascii="仿宋_GB2312" w:hAnsi="仿宋_GB2312" w:cs="仿宋_GB2312"/>
                <w:kern w:val="0"/>
                <w:sz w:val="24"/>
                <w:vertAlign w:val="superscript"/>
              </w:rPr>
              <w:t>(d)</w:t>
            </w:r>
          </w:p>
        </w:tc>
        <w:tc>
          <w:tcPr>
            <w:tcW w:w="33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_GB2312" w:hAnsi="仿宋_GB2312" w:cs="仿宋_GB2312"/>
                <w:kern w:val="0"/>
                <w:sz w:val="24"/>
              </w:rPr>
            </w:pPr>
            <w:r>
              <w:rPr>
                <w:rFonts w:hint="eastAsia" w:ascii="仿宋_GB2312" w:hAnsi="仿宋_GB2312" w:cs="仿宋_GB2312"/>
                <w:kern w:val="0"/>
                <w:sz w:val="24"/>
              </w:rPr>
              <w:t>感官要求，游离性余氯、阴离子合成洗涤剂</w:t>
            </w:r>
            <w:r>
              <w:rPr>
                <w:rFonts w:hint="eastAsia" w:ascii="仿宋_GB2312" w:hAnsi="仿宋_GB2312" w:cs="仿宋_GB2312"/>
                <w:kern w:val="0"/>
                <w:sz w:val="24"/>
                <w:vertAlign w:val="superscript"/>
              </w:rPr>
              <w:t>(e)</w:t>
            </w:r>
            <w:r>
              <w:rPr>
                <w:rFonts w:hint="eastAsia" w:ascii="仿宋_GB2312" w:hAnsi="仿宋_GB2312" w:cs="仿宋_GB2312"/>
                <w:kern w:val="0"/>
                <w:sz w:val="24"/>
              </w:rPr>
              <w:t>，大肠菌群、沙门氏菌</w:t>
            </w:r>
          </w:p>
        </w:tc>
      </w:tr>
    </w:tbl>
    <w:p>
      <w:pPr>
        <w:adjustRightInd w:val="0"/>
        <w:snapToGrid w:val="0"/>
        <w:ind w:left="147" w:hanging="147" w:hangingChars="70"/>
        <w:rPr>
          <w:rFonts w:hint="default" w:ascii="Times New Roman" w:hAnsi="Times New Roman" w:cs="Times New Roman"/>
          <w:sz w:val="21"/>
          <w:szCs w:val="21"/>
        </w:rPr>
      </w:pPr>
      <w:r>
        <w:rPr>
          <w:rFonts w:hint="eastAsia" w:ascii="仿宋_GB2312" w:hAnsi="仿宋_GB2312" w:cs="仿宋_GB2312"/>
          <w:sz w:val="21"/>
          <w:szCs w:val="21"/>
        </w:rPr>
        <w:t>a.用水由持有效卫生许可证供水单位供应的，原则上视为合规；用水为自建设施供水或其他方式供应的，检查水质检验报告，判定合规</w:t>
      </w:r>
      <w:r>
        <w:rPr>
          <w:rFonts w:hint="default" w:ascii="Times New Roman" w:hAnsi="Times New Roman" w:cs="Times New Roman"/>
          <w:sz w:val="21"/>
          <w:szCs w:val="21"/>
        </w:rPr>
        <w:t>情况。</w:t>
      </w:r>
    </w:p>
    <w:p>
      <w:pPr>
        <w:adjustRightInd w:val="0"/>
        <w:snapToGrid w:val="0"/>
        <w:ind w:left="147" w:hanging="147" w:hangingChars="70"/>
        <w:rPr>
          <w:rFonts w:hint="eastAsia" w:ascii="仿宋_GB2312" w:hAnsi="仿宋_GB2312" w:cs="仿宋_GB2312"/>
          <w:sz w:val="21"/>
          <w:szCs w:val="21"/>
        </w:rPr>
      </w:pPr>
      <w:r>
        <w:rPr>
          <w:rFonts w:hint="eastAsia" w:ascii="仿宋_GB2312" w:hAnsi="仿宋_GB2312" w:cs="仿宋_GB2312"/>
          <w:sz w:val="21"/>
          <w:szCs w:val="21"/>
        </w:rPr>
        <w:t>b.使用的洗涤剂和消毒剂均符合规定的判定为合规单位，有一项不符合规定的判定为不合规单位。</w:t>
      </w:r>
    </w:p>
    <w:p>
      <w:pPr>
        <w:adjustRightInd w:val="0"/>
        <w:snapToGrid w:val="0"/>
        <w:ind w:left="147" w:hanging="147" w:hangingChars="70"/>
        <w:rPr>
          <w:rFonts w:hint="eastAsia" w:ascii="仿宋_GB2312" w:hAnsi="仿宋_GB2312" w:cs="仿宋_GB2312"/>
          <w:sz w:val="21"/>
          <w:szCs w:val="21"/>
        </w:rPr>
      </w:pPr>
      <w:r>
        <w:rPr>
          <w:rFonts w:hint="eastAsia" w:ascii="仿宋_GB2312" w:hAnsi="仿宋_GB2312" w:cs="仿宋_GB2312"/>
          <w:sz w:val="21"/>
          <w:szCs w:val="21"/>
        </w:rPr>
        <w:t>c.指建立出厂检验记录并记录出厂餐具饮具数量、消毒日期和批号、使用期限、出厂日期以及委托方名称、地址、联系方式等内容，缺项视为不合规。</w:t>
      </w:r>
    </w:p>
    <w:p>
      <w:pPr>
        <w:adjustRightInd w:val="0"/>
        <w:snapToGrid w:val="0"/>
        <w:ind w:left="147" w:hanging="147" w:hangingChars="70"/>
        <w:rPr>
          <w:rFonts w:hint="eastAsia" w:ascii="仿宋_GB2312" w:hAnsi="仿宋_GB2312" w:cs="仿宋_GB2312"/>
          <w:sz w:val="21"/>
          <w:szCs w:val="21"/>
        </w:rPr>
      </w:pPr>
      <w:r>
        <w:rPr>
          <w:rFonts w:hint="eastAsia" w:ascii="仿宋_GB2312" w:hAnsi="仿宋_GB2312" w:cs="仿宋_GB2312"/>
          <w:sz w:val="21"/>
          <w:szCs w:val="21"/>
        </w:rPr>
        <w:t>d.指消毒后的餐具饮具在独立包装上标注单位名称、地址、联系方式、消毒日期和批号以及使用期限等内容，缺项视为不合规。</w:t>
      </w:r>
    </w:p>
    <w:p>
      <w:pPr>
        <w:adjustRightInd w:val="0"/>
        <w:snapToGrid w:val="0"/>
        <w:ind w:left="147" w:hanging="147" w:hangingChars="70"/>
        <w:rPr>
          <w:rFonts w:hint="eastAsia" w:ascii="仿宋_GB2312" w:hAnsi="仿宋_GB2312" w:cs="仿宋_GB2312"/>
          <w:sz w:val="21"/>
          <w:szCs w:val="21"/>
        </w:rPr>
      </w:pPr>
      <w:r>
        <w:rPr>
          <w:rFonts w:hint="eastAsia" w:ascii="仿宋_GB2312" w:hAnsi="仿宋_GB2312" w:cs="仿宋_GB2312"/>
          <w:sz w:val="21"/>
          <w:szCs w:val="21"/>
        </w:rPr>
        <w:t>e.仅适用于化学消毒法。使用其他消毒方式的，游离性余氯、阴离子合成洗涤剂两项指标合理缺项。</w:t>
      </w:r>
    </w:p>
    <w:p>
      <w:pPr>
        <w:rPr>
          <w:rFonts w:hint="default" w:ascii="Times New Roman" w:hAnsi="Times New Roman" w:cs="Times New Roman"/>
          <w:sz w:val="21"/>
          <w:szCs w:val="21"/>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r>
        <w:rPr>
          <w:rFonts w:hint="eastAsia" w:ascii="黑体" w:hAnsi="黑体" w:eastAsia="黑体" w:cs="黑体"/>
        </w:rPr>
        <w:t>附表6</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2022年学校学习用品国家随机监督抽查信息汇总表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2"/>
        <w:gridCol w:w="1643"/>
        <w:gridCol w:w="1643"/>
        <w:gridCol w:w="1643"/>
        <w:gridCol w:w="1643"/>
        <w:gridCol w:w="1643"/>
        <w:gridCol w:w="1643"/>
        <w:gridCol w:w="1643"/>
        <w:gridCol w:w="1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4" w:type="dxa"/>
            <w:gridSpan w:val="5"/>
            <w:noWrap w:val="0"/>
            <w:vAlign w:val="center"/>
          </w:tcPr>
          <w:p>
            <w:pPr>
              <w:adjustRightInd w:val="0"/>
              <w:snapToGrid w:val="0"/>
              <w:jc w:val="center"/>
              <w:rPr>
                <w:rFonts w:hint="default" w:ascii="Times New Roman" w:hAnsi="Times New Roman" w:cs="Times New Roman"/>
                <w:kern w:val="0"/>
                <w:sz w:val="24"/>
              </w:rPr>
            </w:pPr>
            <w:r>
              <w:rPr>
                <w:rFonts w:hint="default" w:ascii="Times New Roman" w:hAnsi="Times New Roman" w:cs="Times New Roman"/>
                <w:kern w:val="0"/>
                <w:sz w:val="24"/>
              </w:rPr>
              <w:t>普通教室照明灯具</w:t>
            </w:r>
          </w:p>
        </w:tc>
        <w:tc>
          <w:tcPr>
            <w:tcW w:w="6572" w:type="dxa"/>
            <w:gridSpan w:val="4"/>
            <w:noWrap w:val="0"/>
            <w:vAlign w:val="center"/>
          </w:tcPr>
          <w:p>
            <w:pPr>
              <w:jc w:val="center"/>
              <w:rPr>
                <w:rFonts w:hint="default" w:ascii="Times New Roman" w:hAnsi="Times New Roman" w:cs="Times New Roman"/>
              </w:rPr>
            </w:pPr>
            <w:r>
              <w:rPr>
                <w:rFonts w:hint="default" w:ascii="Times New Roman" w:hAnsi="Times New Roman" w:cs="Times New Roman"/>
                <w:kern w:val="0"/>
                <w:sz w:val="24"/>
              </w:rPr>
              <w:t>学校自制考试试卷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2" w:type="dxa"/>
            <w:vMerge w:val="restart"/>
            <w:noWrap w:val="0"/>
            <w:vAlign w:val="center"/>
          </w:tcPr>
          <w:p>
            <w:pPr>
              <w:adjustRightInd w:val="0"/>
              <w:snapToGrid w:val="0"/>
              <w:jc w:val="center"/>
              <w:rPr>
                <w:rFonts w:hint="default" w:ascii="Times New Roman" w:hAnsi="Times New Roman" w:cs="Times New Roman"/>
                <w:kern w:val="0"/>
                <w:sz w:val="24"/>
              </w:rPr>
            </w:pPr>
            <w:r>
              <w:rPr>
                <w:rFonts w:hint="default" w:ascii="Times New Roman" w:hAnsi="Times New Roman" w:cs="Times New Roman"/>
                <w:kern w:val="0"/>
                <w:sz w:val="24"/>
              </w:rPr>
              <w:t>检查学校数</w:t>
            </w:r>
          </w:p>
        </w:tc>
        <w:tc>
          <w:tcPr>
            <w:tcW w:w="6572" w:type="dxa"/>
            <w:gridSpan w:val="4"/>
            <w:noWrap w:val="0"/>
            <w:vAlign w:val="center"/>
          </w:tcPr>
          <w:p>
            <w:pPr>
              <w:adjustRightInd w:val="0"/>
              <w:snapToGrid w:val="0"/>
              <w:jc w:val="center"/>
              <w:rPr>
                <w:rFonts w:hint="default" w:ascii="Times New Roman" w:hAnsi="Times New Roman" w:cs="Times New Roman"/>
                <w:kern w:val="0"/>
                <w:sz w:val="24"/>
              </w:rPr>
            </w:pPr>
            <w:r>
              <w:rPr>
                <w:rFonts w:hint="default" w:ascii="Times New Roman" w:hAnsi="Times New Roman" w:cs="Times New Roman"/>
                <w:kern w:val="0"/>
                <w:sz w:val="24"/>
              </w:rPr>
              <w:t>抽查合格学校数</w:t>
            </w:r>
            <w:r>
              <w:rPr>
                <w:rFonts w:hint="default" w:ascii="Times New Roman" w:hAnsi="Times New Roman" w:cs="Times New Roman"/>
                <w:kern w:val="0"/>
                <w:sz w:val="24"/>
                <w:vertAlign w:val="superscript"/>
              </w:rPr>
              <w:t>(a)</w:t>
            </w:r>
          </w:p>
        </w:tc>
        <w:tc>
          <w:tcPr>
            <w:tcW w:w="1643" w:type="dxa"/>
            <w:vMerge w:val="restart"/>
            <w:noWrap w:val="0"/>
            <w:vAlign w:val="center"/>
          </w:tcPr>
          <w:p>
            <w:pPr>
              <w:adjustRightInd w:val="0"/>
              <w:snapToGrid w:val="0"/>
              <w:jc w:val="center"/>
              <w:rPr>
                <w:rFonts w:hint="default" w:ascii="Times New Roman" w:hAnsi="Times New Roman" w:cs="Times New Roman"/>
                <w:kern w:val="0"/>
                <w:sz w:val="24"/>
              </w:rPr>
            </w:pPr>
            <w:r>
              <w:rPr>
                <w:rFonts w:hint="default" w:ascii="Times New Roman" w:hAnsi="Times New Roman" w:cs="Times New Roman"/>
                <w:kern w:val="0"/>
                <w:sz w:val="24"/>
              </w:rPr>
              <w:t>检查学校数</w:t>
            </w:r>
          </w:p>
        </w:tc>
        <w:tc>
          <w:tcPr>
            <w:tcW w:w="4929" w:type="dxa"/>
            <w:gridSpan w:val="3"/>
            <w:noWrap w:val="0"/>
            <w:vAlign w:val="center"/>
          </w:tcPr>
          <w:p>
            <w:pPr>
              <w:jc w:val="center"/>
              <w:rPr>
                <w:rFonts w:hint="default" w:ascii="Times New Roman" w:hAnsi="Times New Roman" w:cs="Times New Roman"/>
              </w:rPr>
            </w:pPr>
            <w:r>
              <w:rPr>
                <w:rFonts w:hint="default" w:ascii="Times New Roman" w:hAnsi="Times New Roman" w:cs="Times New Roman"/>
                <w:kern w:val="0"/>
                <w:sz w:val="24"/>
              </w:rPr>
              <w:t>检测合格学校数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2" w:type="dxa"/>
            <w:vMerge w:val="continue"/>
            <w:noWrap w:val="0"/>
            <w:vAlign w:val="center"/>
          </w:tcPr>
          <w:p>
            <w:pPr>
              <w:adjustRightInd w:val="0"/>
              <w:snapToGrid w:val="0"/>
              <w:rPr>
                <w:rFonts w:hint="default" w:ascii="Times New Roman" w:hAnsi="Times New Roman" w:cs="Times New Roman"/>
                <w:kern w:val="0"/>
                <w:sz w:val="24"/>
              </w:rPr>
            </w:pPr>
          </w:p>
        </w:tc>
        <w:tc>
          <w:tcPr>
            <w:tcW w:w="1643" w:type="dxa"/>
            <w:noWrap w:val="0"/>
            <w:vAlign w:val="center"/>
          </w:tcPr>
          <w:p>
            <w:pPr>
              <w:adjustRightInd w:val="0"/>
              <w:snapToGrid w:val="0"/>
              <w:jc w:val="center"/>
              <w:rPr>
                <w:rFonts w:hint="default" w:ascii="Times New Roman" w:hAnsi="Times New Roman" w:cs="Times New Roman"/>
                <w:kern w:val="0"/>
                <w:sz w:val="24"/>
              </w:rPr>
            </w:pPr>
            <w:r>
              <w:rPr>
                <w:rFonts w:hint="default" w:ascii="Times New Roman" w:hAnsi="Times New Roman" w:cs="Times New Roman"/>
                <w:kern w:val="0"/>
                <w:sz w:val="24"/>
              </w:rPr>
              <w:t>强制性产品认证</w:t>
            </w:r>
          </w:p>
        </w:tc>
        <w:tc>
          <w:tcPr>
            <w:tcW w:w="1643" w:type="dxa"/>
            <w:noWrap w:val="0"/>
            <w:vAlign w:val="center"/>
          </w:tcPr>
          <w:p>
            <w:pPr>
              <w:adjustRightInd w:val="0"/>
              <w:snapToGrid w:val="0"/>
              <w:jc w:val="center"/>
              <w:rPr>
                <w:rFonts w:hint="default" w:ascii="Times New Roman" w:hAnsi="Times New Roman" w:cs="Times New Roman"/>
                <w:kern w:val="0"/>
                <w:sz w:val="24"/>
              </w:rPr>
            </w:pPr>
            <w:r>
              <w:rPr>
                <w:rFonts w:hint="default" w:ascii="Times New Roman" w:hAnsi="Times New Roman" w:cs="Times New Roman"/>
                <w:kern w:val="0"/>
                <w:sz w:val="24"/>
              </w:rPr>
              <w:t>色温</w:t>
            </w:r>
          </w:p>
        </w:tc>
        <w:tc>
          <w:tcPr>
            <w:tcW w:w="1643" w:type="dxa"/>
            <w:noWrap w:val="0"/>
            <w:vAlign w:val="center"/>
          </w:tcPr>
          <w:p>
            <w:pPr>
              <w:adjustRightInd w:val="0"/>
              <w:snapToGrid w:val="0"/>
              <w:jc w:val="center"/>
              <w:rPr>
                <w:rFonts w:hint="default" w:ascii="Times New Roman" w:hAnsi="Times New Roman" w:cs="Times New Roman"/>
                <w:kern w:val="0"/>
                <w:sz w:val="24"/>
              </w:rPr>
            </w:pPr>
            <w:r>
              <w:rPr>
                <w:rFonts w:hint="default" w:ascii="Times New Roman" w:hAnsi="Times New Roman" w:cs="Times New Roman"/>
                <w:kern w:val="0"/>
                <w:sz w:val="24"/>
              </w:rPr>
              <w:t>显色指数</w:t>
            </w:r>
          </w:p>
        </w:tc>
        <w:tc>
          <w:tcPr>
            <w:tcW w:w="1643" w:type="dxa"/>
            <w:noWrap w:val="0"/>
            <w:vAlign w:val="center"/>
          </w:tcPr>
          <w:p>
            <w:pPr>
              <w:adjustRightInd w:val="0"/>
              <w:snapToGrid w:val="0"/>
              <w:jc w:val="center"/>
              <w:rPr>
                <w:rFonts w:hint="default" w:ascii="Times New Roman" w:hAnsi="Times New Roman" w:cs="Times New Roman"/>
                <w:kern w:val="0"/>
                <w:sz w:val="24"/>
              </w:rPr>
            </w:pPr>
            <w:r>
              <w:rPr>
                <w:rFonts w:hint="default" w:ascii="Times New Roman" w:hAnsi="Times New Roman" w:cs="Times New Roman"/>
                <w:kern w:val="0"/>
                <w:sz w:val="24"/>
              </w:rPr>
              <w:t>蓝光</w:t>
            </w:r>
            <w:r>
              <w:rPr>
                <w:rFonts w:hint="default" w:ascii="Times New Roman" w:hAnsi="Times New Roman" w:cs="Times New Roman"/>
                <w:kern w:val="0"/>
                <w:sz w:val="24"/>
                <w:vertAlign w:val="superscript"/>
              </w:rPr>
              <w:t>(b)</w:t>
            </w:r>
          </w:p>
        </w:tc>
        <w:tc>
          <w:tcPr>
            <w:tcW w:w="1643" w:type="dxa"/>
            <w:vMerge w:val="continue"/>
            <w:noWrap w:val="0"/>
            <w:vAlign w:val="center"/>
          </w:tcPr>
          <w:p>
            <w:pPr>
              <w:adjustRightInd w:val="0"/>
              <w:snapToGrid w:val="0"/>
              <w:rPr>
                <w:rFonts w:hint="default" w:ascii="Times New Roman" w:hAnsi="Times New Roman" w:cs="Times New Roman"/>
                <w:kern w:val="0"/>
                <w:sz w:val="24"/>
              </w:rPr>
            </w:pPr>
          </w:p>
        </w:tc>
        <w:tc>
          <w:tcPr>
            <w:tcW w:w="1643" w:type="dxa"/>
            <w:noWrap w:val="0"/>
            <w:vAlign w:val="center"/>
          </w:tcPr>
          <w:p>
            <w:pPr>
              <w:adjustRightInd w:val="0"/>
              <w:snapToGrid w:val="0"/>
              <w:jc w:val="center"/>
              <w:rPr>
                <w:rFonts w:hint="default" w:ascii="Times New Roman" w:hAnsi="Times New Roman" w:cs="Times New Roman"/>
                <w:kern w:val="0"/>
                <w:sz w:val="24"/>
              </w:rPr>
            </w:pPr>
            <w:r>
              <w:rPr>
                <w:rFonts w:hint="default" w:ascii="Times New Roman" w:hAnsi="Times New Roman" w:cs="Times New Roman"/>
                <w:kern w:val="0"/>
                <w:sz w:val="24"/>
              </w:rPr>
              <w:t>纸张D65亮度及D65荧光亮度</w:t>
            </w:r>
            <w:r>
              <w:rPr>
                <w:rFonts w:hint="default" w:ascii="Times New Roman" w:hAnsi="Times New Roman" w:cs="Times New Roman"/>
                <w:kern w:val="0"/>
                <w:sz w:val="24"/>
                <w:vertAlign w:val="superscript"/>
              </w:rPr>
              <w:t>(c)</w:t>
            </w:r>
          </w:p>
        </w:tc>
        <w:tc>
          <w:tcPr>
            <w:tcW w:w="1643" w:type="dxa"/>
            <w:noWrap w:val="0"/>
            <w:vAlign w:val="center"/>
          </w:tcPr>
          <w:p>
            <w:pPr>
              <w:adjustRightInd w:val="0"/>
              <w:snapToGrid w:val="0"/>
              <w:jc w:val="center"/>
              <w:rPr>
                <w:rFonts w:hint="default" w:ascii="Times New Roman" w:hAnsi="Times New Roman" w:cs="Times New Roman"/>
                <w:kern w:val="0"/>
                <w:sz w:val="24"/>
              </w:rPr>
            </w:pPr>
            <w:r>
              <w:rPr>
                <w:rFonts w:hint="default" w:ascii="Times New Roman" w:hAnsi="Times New Roman" w:cs="Times New Roman"/>
                <w:kern w:val="0"/>
                <w:sz w:val="24"/>
              </w:rPr>
              <w:t>字体字号</w:t>
            </w:r>
          </w:p>
        </w:tc>
        <w:tc>
          <w:tcPr>
            <w:tcW w:w="1643" w:type="dxa"/>
            <w:noWrap w:val="0"/>
            <w:vAlign w:val="center"/>
          </w:tcPr>
          <w:p>
            <w:pPr>
              <w:jc w:val="center"/>
              <w:rPr>
                <w:rFonts w:hint="default" w:ascii="Times New Roman" w:hAnsi="Times New Roman" w:cs="Times New Roman"/>
              </w:rPr>
            </w:pPr>
            <w:r>
              <w:rPr>
                <w:rFonts w:hint="default" w:ascii="Times New Roman" w:hAnsi="Times New Roman" w:cs="Times New Roman"/>
                <w:sz w:val="24"/>
              </w:rPr>
              <w:t>行空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2" w:type="dxa"/>
            <w:noWrap w:val="0"/>
            <w:vAlign w:val="center"/>
          </w:tcPr>
          <w:p>
            <w:pPr>
              <w:adjustRightInd w:val="0"/>
              <w:snapToGrid w:val="0"/>
              <w:rPr>
                <w:rFonts w:hint="default" w:ascii="Times New Roman" w:hAnsi="Times New Roman" w:cs="Times New Roman"/>
                <w:kern w:val="0"/>
                <w:sz w:val="24"/>
              </w:rPr>
            </w:pPr>
          </w:p>
        </w:tc>
        <w:tc>
          <w:tcPr>
            <w:tcW w:w="1643" w:type="dxa"/>
            <w:noWrap w:val="0"/>
            <w:vAlign w:val="center"/>
          </w:tcPr>
          <w:p>
            <w:pPr>
              <w:adjustRightInd w:val="0"/>
              <w:snapToGrid w:val="0"/>
              <w:rPr>
                <w:rFonts w:hint="default" w:ascii="Times New Roman" w:hAnsi="Times New Roman" w:cs="Times New Roman"/>
                <w:kern w:val="0"/>
                <w:sz w:val="24"/>
              </w:rPr>
            </w:pPr>
          </w:p>
          <w:p>
            <w:pPr>
              <w:adjustRightInd w:val="0"/>
              <w:snapToGrid w:val="0"/>
              <w:rPr>
                <w:rFonts w:hint="default" w:ascii="Times New Roman" w:hAnsi="Times New Roman" w:cs="Times New Roman"/>
                <w:kern w:val="0"/>
                <w:sz w:val="24"/>
              </w:rPr>
            </w:pPr>
          </w:p>
          <w:p>
            <w:pPr>
              <w:adjustRightInd w:val="0"/>
              <w:snapToGrid w:val="0"/>
              <w:rPr>
                <w:rFonts w:hint="default" w:ascii="Times New Roman" w:hAnsi="Times New Roman" w:cs="Times New Roman"/>
                <w:kern w:val="0"/>
                <w:sz w:val="24"/>
              </w:rPr>
            </w:pPr>
          </w:p>
        </w:tc>
        <w:tc>
          <w:tcPr>
            <w:tcW w:w="1643" w:type="dxa"/>
            <w:noWrap w:val="0"/>
            <w:vAlign w:val="center"/>
          </w:tcPr>
          <w:p>
            <w:pPr>
              <w:adjustRightInd w:val="0"/>
              <w:snapToGrid w:val="0"/>
              <w:rPr>
                <w:rFonts w:hint="default" w:ascii="Times New Roman" w:hAnsi="Times New Roman" w:cs="Times New Roman"/>
                <w:kern w:val="0"/>
                <w:sz w:val="24"/>
              </w:rPr>
            </w:pPr>
          </w:p>
        </w:tc>
        <w:tc>
          <w:tcPr>
            <w:tcW w:w="1643" w:type="dxa"/>
            <w:noWrap w:val="0"/>
            <w:vAlign w:val="center"/>
          </w:tcPr>
          <w:p>
            <w:pPr>
              <w:adjustRightInd w:val="0"/>
              <w:snapToGrid w:val="0"/>
              <w:rPr>
                <w:rFonts w:hint="default" w:ascii="Times New Roman" w:hAnsi="Times New Roman" w:cs="Times New Roman"/>
                <w:kern w:val="0"/>
                <w:sz w:val="24"/>
              </w:rPr>
            </w:pPr>
          </w:p>
        </w:tc>
        <w:tc>
          <w:tcPr>
            <w:tcW w:w="1643" w:type="dxa"/>
            <w:noWrap w:val="0"/>
            <w:vAlign w:val="center"/>
          </w:tcPr>
          <w:p>
            <w:pPr>
              <w:adjustRightInd w:val="0"/>
              <w:snapToGrid w:val="0"/>
              <w:rPr>
                <w:rFonts w:hint="default" w:ascii="Times New Roman" w:hAnsi="Times New Roman" w:cs="Times New Roman"/>
                <w:kern w:val="0"/>
                <w:sz w:val="24"/>
              </w:rPr>
            </w:pPr>
          </w:p>
        </w:tc>
        <w:tc>
          <w:tcPr>
            <w:tcW w:w="1643" w:type="dxa"/>
            <w:noWrap w:val="0"/>
            <w:vAlign w:val="center"/>
          </w:tcPr>
          <w:p>
            <w:pPr>
              <w:adjustRightInd w:val="0"/>
              <w:snapToGrid w:val="0"/>
              <w:rPr>
                <w:rFonts w:hint="default" w:ascii="Times New Roman" w:hAnsi="Times New Roman" w:cs="Times New Roman"/>
                <w:kern w:val="0"/>
                <w:sz w:val="24"/>
              </w:rPr>
            </w:pPr>
          </w:p>
        </w:tc>
        <w:tc>
          <w:tcPr>
            <w:tcW w:w="1643" w:type="dxa"/>
            <w:noWrap w:val="0"/>
            <w:vAlign w:val="center"/>
          </w:tcPr>
          <w:p>
            <w:pPr>
              <w:adjustRightInd w:val="0"/>
              <w:snapToGrid w:val="0"/>
              <w:rPr>
                <w:rFonts w:hint="default" w:ascii="Times New Roman" w:hAnsi="Times New Roman" w:cs="Times New Roman"/>
                <w:kern w:val="0"/>
                <w:sz w:val="24"/>
              </w:rPr>
            </w:pPr>
          </w:p>
        </w:tc>
        <w:tc>
          <w:tcPr>
            <w:tcW w:w="1643" w:type="dxa"/>
            <w:noWrap w:val="0"/>
            <w:vAlign w:val="center"/>
          </w:tcPr>
          <w:p>
            <w:pPr>
              <w:adjustRightInd w:val="0"/>
              <w:snapToGrid w:val="0"/>
              <w:rPr>
                <w:rFonts w:hint="default" w:ascii="Times New Roman" w:hAnsi="Times New Roman" w:cs="Times New Roman"/>
                <w:kern w:val="0"/>
                <w:sz w:val="24"/>
              </w:rPr>
            </w:pPr>
          </w:p>
        </w:tc>
        <w:tc>
          <w:tcPr>
            <w:tcW w:w="1643" w:type="dxa"/>
            <w:noWrap w:val="0"/>
            <w:vAlign w:val="center"/>
          </w:tcPr>
          <w:p>
            <w:pPr>
              <w:rPr>
                <w:rFonts w:hint="default" w:ascii="Times New Roman" w:hAnsi="Times New Roman" w:cs="Times New Roman"/>
              </w:rPr>
            </w:pPr>
          </w:p>
        </w:tc>
      </w:tr>
    </w:tbl>
    <w:p>
      <w:pPr>
        <w:rPr>
          <w:rFonts w:hint="default" w:ascii="Times New Roman" w:hAnsi="Times New Roman" w:cs="Times New Roman"/>
          <w:kern w:val="0"/>
          <w:sz w:val="21"/>
          <w:szCs w:val="21"/>
        </w:rPr>
      </w:pPr>
      <w:r>
        <w:rPr>
          <w:rFonts w:hint="default" w:ascii="Times New Roman" w:hAnsi="Times New Roman" w:cs="Times New Roman"/>
          <w:kern w:val="0"/>
          <w:sz w:val="21"/>
          <w:szCs w:val="21"/>
        </w:rPr>
        <w:t>a.灯具检查可通过现场查看灯具标志标识及索证资料来完成。</w:t>
      </w:r>
    </w:p>
    <w:p>
      <w:pPr>
        <w:rPr>
          <w:rFonts w:hint="default" w:ascii="Times New Roman" w:hAnsi="Times New Roman" w:cs="Times New Roman"/>
          <w:kern w:val="0"/>
          <w:sz w:val="21"/>
          <w:szCs w:val="21"/>
        </w:rPr>
      </w:pPr>
      <w:r>
        <w:rPr>
          <w:rFonts w:hint="default" w:ascii="Times New Roman" w:hAnsi="Times New Roman" w:cs="Times New Roman"/>
          <w:kern w:val="0"/>
          <w:sz w:val="21"/>
          <w:szCs w:val="21"/>
        </w:rPr>
        <w:t>b.对于GB7001中不免除视网膜蓝光危害评估的灯具，根据IEC/TR62778进行蓝光危害评估，黑板局部照明灯或教室一般照明灯中有一种不合格即判定为该项不合格；其他免除视网膜蓝光危害评估的灯具默认蓝光合格。</w:t>
      </w:r>
    </w:p>
    <w:p>
      <w:pPr>
        <w:rPr>
          <w:rFonts w:hint="default" w:ascii="Times New Roman" w:hAnsi="Times New Roman" w:cs="Times New Roman"/>
          <w:kern w:val="0"/>
          <w:sz w:val="21"/>
          <w:szCs w:val="21"/>
        </w:rPr>
      </w:pPr>
      <w:r>
        <w:rPr>
          <w:rFonts w:hint="default" w:ascii="Times New Roman" w:hAnsi="Times New Roman" w:cs="Times New Roman"/>
          <w:kern w:val="0"/>
          <w:sz w:val="21"/>
          <w:szCs w:val="21"/>
        </w:rPr>
        <w:t>c.可通过实验室检测或现场查看索证资料来完成。</w:t>
      </w:r>
    </w:p>
    <w:p>
      <w:pPr>
        <w:rPr>
          <w:rFonts w:hint="default" w:ascii="Times New Roman" w:hAnsi="Times New Roman" w:cs="Times New Roman"/>
          <w:kern w:val="0"/>
          <w:sz w:val="21"/>
          <w:szCs w:val="21"/>
        </w:rPr>
      </w:pPr>
    </w:p>
    <w:p>
      <w:pPr>
        <w:rPr>
          <w:rFonts w:hint="default" w:ascii="Times New Roman" w:hAnsi="Times New Roman" w:cs="Times New Roman"/>
          <w:kern w:val="0"/>
          <w:sz w:val="21"/>
          <w:szCs w:val="21"/>
        </w:rPr>
      </w:pPr>
    </w:p>
    <w:p>
      <w:pPr>
        <w:jc w:val="center"/>
        <w:rPr>
          <w:rFonts w:hint="default" w:ascii="Times New Roman" w:hAnsi="Times New Roman" w:cs="Times New Roman"/>
          <w:kern w:val="0"/>
          <w:sz w:val="24"/>
        </w:rPr>
      </w:pPr>
    </w:p>
    <w:p>
      <w:pPr>
        <w:jc w:val="center"/>
        <w:rPr>
          <w:rFonts w:hint="default" w:ascii="Times New Roman" w:hAnsi="Times New Roman" w:eastAsia="方正小标宋简体" w:cs="Times New Roman"/>
          <w:sz w:val="44"/>
          <w:szCs w:val="44"/>
        </w:rPr>
      </w:pPr>
    </w:p>
    <w:p>
      <w:pPr>
        <w:rPr>
          <w:rFonts w:hint="default" w:ascii="Times New Roman" w:hAnsi="Times New Roman" w:cs="Times New Roman"/>
        </w:rPr>
        <w:sectPr>
          <w:pgSz w:w="16838" w:h="11905" w:orient="landscape"/>
          <w:pgMar w:top="1134" w:right="1134" w:bottom="1134" w:left="1134" w:header="284" w:footer="851" w:gutter="0"/>
          <w:pgNumType w:fmt="decimal"/>
          <w:cols w:space="720" w:num="1"/>
          <w:docGrid w:type="linesAndChars" w:linePitch="439" w:charSpace="0"/>
        </w:sectPr>
      </w:pPr>
    </w:p>
    <w:p>
      <w:pPr>
        <w:adjustRightInd w:val="0"/>
        <w:snapToGrid w:val="0"/>
        <w:spacing w:line="590" w:lineRule="exact"/>
        <w:ind w:left="96" w:leftChars="30" w:firstLine="96" w:firstLineChars="30"/>
        <w:rPr>
          <w:rFonts w:hint="eastAsia" w:ascii="黑体" w:hAnsi="黑体" w:eastAsia="黑体" w:cs="黑体"/>
        </w:rPr>
      </w:pPr>
      <w:r>
        <w:rPr>
          <w:rFonts w:hint="eastAsia" w:ascii="黑体" w:hAnsi="黑体" w:eastAsia="黑体" w:cs="黑体"/>
        </w:rPr>
        <w:t>附表7</w:t>
      </w:r>
    </w:p>
    <w:p>
      <w:pPr>
        <w:adjustRightInd w:val="0"/>
        <w:snapToGrid w:val="0"/>
        <w:rPr>
          <w:rFonts w:hint="default" w:ascii="Times New Roman" w:hAnsi="Times New Roman" w:cs="Times New Roman"/>
        </w:rPr>
      </w:pPr>
    </w:p>
    <w:p>
      <w:pPr>
        <w:adjustRightInd w:val="0"/>
        <w:snapToGrid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2022年小型集中式供水卫生安全巡查服务实施情况汇总表</w:t>
      </w:r>
    </w:p>
    <w:p>
      <w:pPr>
        <w:adjustRightInd w:val="0"/>
        <w:snapToGrid w:val="0"/>
        <w:rPr>
          <w:rFonts w:hint="default" w:ascii="Times New Roman" w:hAnsi="Times New Roman" w:cs="Times New Roman"/>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1"/>
        <w:gridCol w:w="1506"/>
        <w:gridCol w:w="1935"/>
        <w:gridCol w:w="1595"/>
        <w:gridCol w:w="1842"/>
        <w:gridCol w:w="2290"/>
        <w:gridCol w:w="2214"/>
        <w:gridCol w:w="1054"/>
        <w:gridCol w:w="1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136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4"/>
              </w:rPr>
            </w:pPr>
            <w:r>
              <w:rPr>
                <w:rFonts w:hint="default" w:ascii="Times New Roman" w:hAnsi="Times New Roman" w:eastAsia="黑体" w:cs="Times New Roman"/>
                <w:kern w:val="0"/>
                <w:sz w:val="24"/>
              </w:rPr>
              <w:t>在用小型集中式供水的乡镇总数</w:t>
            </w:r>
          </w:p>
        </w:tc>
        <w:tc>
          <w:tcPr>
            <w:tcW w:w="1506"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4"/>
              </w:rPr>
            </w:pPr>
            <w:r>
              <w:rPr>
                <w:rFonts w:hint="default" w:ascii="Times New Roman" w:hAnsi="Times New Roman" w:eastAsia="黑体" w:cs="Times New Roman"/>
                <w:kern w:val="0"/>
                <w:sz w:val="24"/>
              </w:rPr>
              <w:t>检查乡镇数</w:t>
            </w:r>
          </w:p>
        </w:tc>
        <w:tc>
          <w:tcPr>
            <w:tcW w:w="193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4"/>
              </w:rPr>
            </w:pPr>
            <w:r>
              <w:rPr>
                <w:rFonts w:hint="default" w:ascii="Times New Roman" w:hAnsi="Times New Roman" w:eastAsia="黑体" w:cs="Times New Roman"/>
                <w:kern w:val="0"/>
                <w:sz w:val="24"/>
              </w:rPr>
              <w:t>检查的乡镇中已开展卫生安全巡查的乡镇数</w:t>
            </w:r>
            <w:r>
              <w:rPr>
                <w:rFonts w:hint="default" w:ascii="Times New Roman" w:hAnsi="Times New Roman" w:eastAsia="黑体" w:cs="Times New Roman"/>
                <w:kern w:val="0"/>
                <w:sz w:val="24"/>
                <w:vertAlign w:val="superscript"/>
              </w:rPr>
              <w:t>(a)</w:t>
            </w:r>
          </w:p>
        </w:tc>
        <w:tc>
          <w:tcPr>
            <w:tcW w:w="159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4"/>
              </w:rPr>
            </w:pPr>
            <w:r>
              <w:rPr>
                <w:rFonts w:hint="default" w:ascii="Times New Roman" w:hAnsi="Times New Roman" w:eastAsia="黑体" w:cs="Times New Roman"/>
                <w:kern w:val="0"/>
                <w:sz w:val="24"/>
              </w:rPr>
              <w:t>检查的乡镇中在用小型集中式供水水厂数</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4"/>
              </w:rPr>
            </w:pPr>
            <w:r>
              <w:rPr>
                <w:rFonts w:hint="default" w:ascii="Times New Roman" w:hAnsi="Times New Roman" w:eastAsia="黑体" w:cs="Times New Roman"/>
                <w:kern w:val="0"/>
                <w:sz w:val="24"/>
              </w:rPr>
              <w:t>已建立基本情况档案的小型集中式供水水厂数</w:t>
            </w:r>
            <w:r>
              <w:rPr>
                <w:rFonts w:hint="default" w:ascii="Times New Roman" w:hAnsi="Times New Roman" w:eastAsia="黑体" w:cs="Times New Roman"/>
                <w:kern w:val="0"/>
                <w:sz w:val="24"/>
                <w:vertAlign w:val="superscript"/>
              </w:rPr>
              <w:t>(b)</w:t>
            </w:r>
          </w:p>
        </w:tc>
        <w:tc>
          <w:tcPr>
            <w:tcW w:w="229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4"/>
              </w:rPr>
            </w:pPr>
            <w:r>
              <w:rPr>
                <w:rFonts w:hint="default" w:ascii="Times New Roman" w:hAnsi="Times New Roman" w:eastAsia="黑体" w:cs="Times New Roman"/>
                <w:kern w:val="0"/>
                <w:sz w:val="24"/>
              </w:rPr>
              <w:t>已建立卫生安全巡查档案的小型集中式供水水厂数</w:t>
            </w:r>
            <w:r>
              <w:rPr>
                <w:rFonts w:hint="default" w:ascii="Times New Roman" w:hAnsi="Times New Roman" w:eastAsia="黑体" w:cs="Times New Roman"/>
                <w:kern w:val="0"/>
                <w:sz w:val="24"/>
                <w:vertAlign w:val="superscript"/>
              </w:rPr>
              <w:t>(b)</w:t>
            </w:r>
          </w:p>
        </w:tc>
        <w:tc>
          <w:tcPr>
            <w:tcW w:w="221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4"/>
              </w:rPr>
            </w:pPr>
            <w:r>
              <w:rPr>
                <w:rFonts w:hint="default" w:ascii="Times New Roman" w:hAnsi="Times New Roman" w:eastAsia="黑体" w:cs="Times New Roman"/>
                <w:kern w:val="0"/>
                <w:sz w:val="24"/>
              </w:rPr>
              <w:t>检查的小型集中式供水中持有卫生许可证的水厂数</w:t>
            </w:r>
          </w:p>
        </w:tc>
        <w:tc>
          <w:tcPr>
            <w:tcW w:w="105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4"/>
              </w:rPr>
            </w:pPr>
            <w:r>
              <w:rPr>
                <w:rFonts w:hint="default" w:ascii="Times New Roman" w:hAnsi="Times New Roman" w:eastAsia="黑体" w:cs="Times New Roman"/>
                <w:kern w:val="0"/>
                <w:sz w:val="24"/>
              </w:rPr>
              <w:t>案件数</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4"/>
              </w:rPr>
            </w:pPr>
            <w:r>
              <w:rPr>
                <w:rFonts w:hint="default" w:ascii="Times New Roman" w:hAnsi="Times New Roman" w:eastAsia="黑体" w:cs="Times New Roman"/>
                <w:kern w:val="0"/>
                <w:sz w:val="24"/>
              </w:rPr>
              <w:t>罚款金额（万元）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136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kern w:val="0"/>
                <w:sz w:val="24"/>
              </w:rPr>
            </w:pPr>
          </w:p>
        </w:tc>
        <w:tc>
          <w:tcPr>
            <w:tcW w:w="1506"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kern w:val="0"/>
                <w:sz w:val="24"/>
              </w:rPr>
            </w:pPr>
          </w:p>
        </w:tc>
        <w:tc>
          <w:tcPr>
            <w:tcW w:w="193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kern w:val="0"/>
                <w:sz w:val="24"/>
              </w:rPr>
            </w:pPr>
          </w:p>
        </w:tc>
        <w:tc>
          <w:tcPr>
            <w:tcW w:w="159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kern w:val="0"/>
                <w:sz w:val="24"/>
              </w:rPr>
            </w:pPr>
          </w:p>
        </w:tc>
        <w:tc>
          <w:tcPr>
            <w:tcW w:w="1842"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kern w:val="0"/>
                <w:sz w:val="24"/>
              </w:rPr>
            </w:pPr>
          </w:p>
        </w:tc>
        <w:tc>
          <w:tcPr>
            <w:tcW w:w="229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kern w:val="0"/>
                <w:sz w:val="24"/>
              </w:rPr>
            </w:pPr>
          </w:p>
        </w:tc>
        <w:tc>
          <w:tcPr>
            <w:tcW w:w="221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kern w:val="0"/>
                <w:sz w:val="24"/>
              </w:rPr>
            </w:pPr>
          </w:p>
        </w:tc>
        <w:tc>
          <w:tcPr>
            <w:tcW w:w="105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kern w:val="0"/>
                <w:sz w:val="24"/>
              </w:rPr>
            </w:pPr>
          </w:p>
        </w:tc>
        <w:tc>
          <w:tcPr>
            <w:tcW w:w="1333"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kern w:val="0"/>
                <w:sz w:val="24"/>
              </w:rPr>
            </w:pPr>
          </w:p>
        </w:tc>
      </w:tr>
    </w:tbl>
    <w:p>
      <w:pPr>
        <w:adjustRightInd w:val="0"/>
        <w:snapToGrid w:val="0"/>
        <w:spacing w:before="219" w:beforeLines="5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a.提供饮用水卫生安全巡查服务的机构建立有农村集中式供水基本情况档案或卫生安全巡查记录，才可判定为已开展饮用水卫生安全巡查。</w:t>
      </w:r>
    </w:p>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b.指由饮用水卫生安全巡查服务机构建立的相关档案。</w:t>
      </w:r>
    </w:p>
    <w:p>
      <w:pPr>
        <w:adjustRightInd w:val="0"/>
        <w:snapToGrid w:val="0"/>
        <w:spacing w:line="590" w:lineRule="exact"/>
        <w:rPr>
          <w:rFonts w:hint="default" w:ascii="Times New Roman" w:hAnsi="Times New Roman" w:cs="Times New Roman"/>
          <w:sz w:val="21"/>
          <w:szCs w:val="21"/>
        </w:rPr>
      </w:pPr>
    </w:p>
    <w:p>
      <w:pPr>
        <w:adjustRightInd w:val="0"/>
        <w:snapToGrid w:val="0"/>
        <w:spacing w:line="590" w:lineRule="exact"/>
        <w:rPr>
          <w:rFonts w:hint="default" w:ascii="Times New Roman" w:hAnsi="Times New Roman" w:cs="Times New Roman"/>
        </w:rPr>
      </w:pPr>
    </w:p>
    <w:p>
      <w:pPr>
        <w:rPr>
          <w:rFonts w:hint="default" w:ascii="Times New Roman" w:hAnsi="Times New Roman" w:cs="Times New Roman"/>
        </w:rPr>
        <w:sectPr>
          <w:pgSz w:w="16838" w:h="11905" w:orient="landscape"/>
          <w:pgMar w:top="1134" w:right="1134" w:bottom="1134" w:left="1134" w:header="284" w:footer="851" w:gutter="0"/>
          <w:pgNumType w:fmt="decimal"/>
          <w:cols w:space="720" w:num="1"/>
          <w:docGrid w:type="lines" w:linePitch="439" w:charSpace="0"/>
        </w:sectPr>
      </w:pPr>
    </w:p>
    <w:p>
      <w:pPr>
        <w:adjustRightInd w:val="0"/>
        <w:snapToGrid w:val="0"/>
        <w:spacing w:line="590" w:lineRule="exact"/>
        <w:ind w:left="41" w:leftChars="13" w:firstLine="41" w:firstLineChars="13"/>
        <w:rPr>
          <w:rFonts w:hint="eastAsia" w:ascii="黑体" w:hAnsi="黑体" w:eastAsia="黑体" w:cs="黑体"/>
        </w:rPr>
      </w:pPr>
      <w:r>
        <w:rPr>
          <w:rFonts w:hint="eastAsia" w:ascii="黑体" w:hAnsi="黑体" w:eastAsia="黑体" w:cs="黑体"/>
        </w:rPr>
        <w:t>附表8</w:t>
      </w:r>
    </w:p>
    <w:p>
      <w:pPr>
        <w:adjustRightInd w:val="0"/>
        <w:snapToGrid w:val="0"/>
        <w:rPr>
          <w:rFonts w:hint="default" w:ascii="Times New Roman" w:hAnsi="Times New Roman" w:cs="Times New Roman"/>
        </w:rPr>
      </w:pPr>
    </w:p>
    <w:p>
      <w:pPr>
        <w:adjustRightInd w:val="0"/>
        <w:snapToGrid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2022年小型集中式供水和二次供水水质国家随机监督抽查信息汇总表</w:t>
      </w:r>
    </w:p>
    <w:p>
      <w:pPr>
        <w:adjustRightInd w:val="0"/>
        <w:snapToGrid w:val="0"/>
        <w:rPr>
          <w:rFonts w:hint="default" w:ascii="Times New Roman" w:hAnsi="Times New Roman" w:cs="Times New Roman"/>
        </w:rPr>
      </w:pPr>
    </w:p>
    <w:tbl>
      <w:tblPr>
        <w:tblStyle w:val="4"/>
        <w:tblW w:w="15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1440"/>
        <w:gridCol w:w="1469"/>
        <w:gridCol w:w="880"/>
        <w:gridCol w:w="856"/>
        <w:gridCol w:w="960"/>
        <w:gridCol w:w="941"/>
        <w:gridCol w:w="887"/>
        <w:gridCol w:w="886"/>
        <w:gridCol w:w="852"/>
        <w:gridCol w:w="862"/>
        <w:gridCol w:w="854"/>
        <w:gridCol w:w="892"/>
        <w:gridCol w:w="869"/>
        <w:gridCol w:w="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91"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单位类别</w:t>
            </w:r>
          </w:p>
        </w:tc>
        <w:tc>
          <w:tcPr>
            <w:tcW w:w="1440"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检测单位数</w:t>
            </w:r>
            <w:r>
              <w:rPr>
                <w:rFonts w:hint="default" w:ascii="Times New Roman" w:hAnsi="Times New Roman" w:eastAsia="黑体" w:cs="Times New Roman"/>
                <w:kern w:val="0"/>
                <w:sz w:val="21"/>
                <w:vertAlign w:val="superscript"/>
              </w:rPr>
              <w:t>(a)</w:t>
            </w:r>
          </w:p>
        </w:tc>
        <w:tc>
          <w:tcPr>
            <w:tcW w:w="1469"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合格单位数</w:t>
            </w:r>
            <w:r>
              <w:rPr>
                <w:rFonts w:hint="default" w:ascii="Times New Roman" w:hAnsi="Times New Roman" w:eastAsia="黑体" w:cs="Times New Roman"/>
                <w:kern w:val="0"/>
                <w:sz w:val="21"/>
                <w:vertAlign w:val="superscript"/>
              </w:rPr>
              <w:t>(b)</w:t>
            </w:r>
          </w:p>
        </w:tc>
        <w:tc>
          <w:tcPr>
            <w:tcW w:w="173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色度</w:t>
            </w:r>
          </w:p>
        </w:tc>
        <w:tc>
          <w:tcPr>
            <w:tcW w:w="1901"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浑浊度</w:t>
            </w:r>
          </w:p>
        </w:tc>
        <w:tc>
          <w:tcPr>
            <w:tcW w:w="177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臭和味</w:t>
            </w:r>
          </w:p>
        </w:tc>
        <w:tc>
          <w:tcPr>
            <w:tcW w:w="171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肉眼可见物</w:t>
            </w:r>
          </w:p>
        </w:tc>
        <w:tc>
          <w:tcPr>
            <w:tcW w:w="174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pH</w:t>
            </w:r>
          </w:p>
        </w:tc>
        <w:tc>
          <w:tcPr>
            <w:tcW w:w="17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消毒剂余量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91"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default" w:ascii="Times New Roman" w:hAnsi="Times New Roman" w:cs="Times New Roman"/>
                <w:sz w:val="21"/>
              </w:rPr>
            </w:pPr>
          </w:p>
        </w:tc>
        <w:tc>
          <w:tcPr>
            <w:tcW w:w="1440"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default" w:ascii="Times New Roman" w:hAnsi="Times New Roman" w:cs="Times New Roman"/>
                <w:sz w:val="21"/>
              </w:rPr>
            </w:pPr>
          </w:p>
        </w:tc>
        <w:tc>
          <w:tcPr>
            <w:tcW w:w="1469"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default" w:ascii="Times New Roman" w:hAnsi="Times New Roman" w:cs="Times New Roman"/>
                <w:sz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sz w:val="21"/>
              </w:rPr>
            </w:pPr>
            <w:r>
              <w:rPr>
                <w:rFonts w:hint="default" w:ascii="Times New Roman" w:hAnsi="Times New Roman" w:eastAsia="黑体" w:cs="Times New Roman"/>
                <w:kern w:val="0"/>
                <w:sz w:val="21"/>
              </w:rPr>
              <w:t>检测单位数</w:t>
            </w:r>
          </w:p>
        </w:tc>
        <w:tc>
          <w:tcPr>
            <w:tcW w:w="8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合格单位数</w:t>
            </w:r>
          </w:p>
        </w:tc>
        <w:tc>
          <w:tcPr>
            <w:tcW w:w="9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检测单位数</w:t>
            </w:r>
          </w:p>
        </w:tc>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合格单位数</w:t>
            </w:r>
          </w:p>
        </w:tc>
        <w:tc>
          <w:tcPr>
            <w:tcW w:w="8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检测单位数</w:t>
            </w:r>
          </w:p>
        </w:tc>
        <w:tc>
          <w:tcPr>
            <w:tcW w:w="8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合格单位数</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检测单位数</w:t>
            </w:r>
          </w:p>
        </w:tc>
        <w:tc>
          <w:tcPr>
            <w:tcW w:w="86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合格单位数</w:t>
            </w:r>
          </w:p>
        </w:tc>
        <w:tc>
          <w:tcPr>
            <w:tcW w:w="8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检测单位数</w:t>
            </w:r>
          </w:p>
        </w:tc>
        <w:tc>
          <w:tcPr>
            <w:tcW w:w="8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合格单位数</w:t>
            </w:r>
          </w:p>
        </w:tc>
        <w:tc>
          <w:tcPr>
            <w:tcW w:w="8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检测单位数</w:t>
            </w:r>
          </w:p>
        </w:tc>
        <w:tc>
          <w:tcPr>
            <w:tcW w:w="91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合格单位数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kern w:val="0"/>
                <w:sz w:val="21"/>
              </w:rPr>
            </w:pPr>
            <w:r>
              <w:rPr>
                <w:rFonts w:hint="default" w:ascii="Times New Roman" w:hAnsi="Times New Roman" w:cs="Times New Roman"/>
                <w:kern w:val="0"/>
                <w:sz w:val="21"/>
              </w:rPr>
              <w:t>小型集中式供水</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1"/>
              </w:rPr>
            </w:pPr>
          </w:p>
        </w:tc>
        <w:tc>
          <w:tcPr>
            <w:tcW w:w="14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1"/>
              </w:rPr>
            </w:pPr>
          </w:p>
        </w:tc>
        <w:tc>
          <w:tcPr>
            <w:tcW w:w="8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1"/>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1"/>
              </w:rPr>
            </w:pPr>
          </w:p>
        </w:tc>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1"/>
              </w:rPr>
            </w:pPr>
          </w:p>
        </w:tc>
        <w:tc>
          <w:tcPr>
            <w:tcW w:w="8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1"/>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1"/>
              </w:rPr>
            </w:pPr>
          </w:p>
        </w:tc>
        <w:tc>
          <w:tcPr>
            <w:tcW w:w="86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1"/>
              </w:rPr>
            </w:pPr>
          </w:p>
        </w:tc>
        <w:tc>
          <w:tcPr>
            <w:tcW w:w="8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1"/>
              </w:rPr>
            </w:pPr>
          </w:p>
        </w:tc>
        <w:tc>
          <w:tcPr>
            <w:tcW w:w="8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1"/>
              </w:rPr>
            </w:pPr>
          </w:p>
        </w:tc>
        <w:tc>
          <w:tcPr>
            <w:tcW w:w="8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1"/>
              </w:rPr>
            </w:pPr>
          </w:p>
        </w:tc>
        <w:tc>
          <w:tcPr>
            <w:tcW w:w="91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kern w:val="0"/>
                <w:sz w:val="21"/>
              </w:rPr>
            </w:pPr>
            <w:r>
              <w:rPr>
                <w:rFonts w:hint="default" w:ascii="Times New Roman" w:hAnsi="Times New Roman" w:cs="Times New Roman"/>
                <w:kern w:val="0"/>
                <w:sz w:val="21"/>
              </w:rPr>
              <w:t>二次供水</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1"/>
              </w:rPr>
            </w:pPr>
          </w:p>
        </w:tc>
        <w:tc>
          <w:tcPr>
            <w:tcW w:w="14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kern w:val="0"/>
                <w:sz w:val="21"/>
              </w:rPr>
            </w:pPr>
          </w:p>
        </w:tc>
        <w:tc>
          <w:tcPr>
            <w:tcW w:w="85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kern w:val="0"/>
                <w:sz w:val="21"/>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kern w:val="0"/>
                <w:sz w:val="21"/>
              </w:rPr>
            </w:pPr>
          </w:p>
        </w:tc>
        <w:tc>
          <w:tcPr>
            <w:tcW w:w="9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kern w:val="0"/>
                <w:sz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kern w:val="0"/>
                <w:sz w:val="21"/>
              </w:rPr>
            </w:pPr>
          </w:p>
        </w:tc>
        <w:tc>
          <w:tcPr>
            <w:tcW w:w="8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kern w:val="0"/>
                <w:sz w:val="21"/>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kern w:val="0"/>
                <w:sz w:val="21"/>
              </w:rPr>
            </w:pPr>
          </w:p>
        </w:tc>
        <w:tc>
          <w:tcPr>
            <w:tcW w:w="86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kern w:val="0"/>
                <w:sz w:val="21"/>
              </w:rPr>
            </w:pPr>
          </w:p>
        </w:tc>
        <w:tc>
          <w:tcPr>
            <w:tcW w:w="8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kern w:val="0"/>
                <w:sz w:val="21"/>
              </w:rPr>
            </w:pPr>
          </w:p>
        </w:tc>
        <w:tc>
          <w:tcPr>
            <w:tcW w:w="8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kern w:val="0"/>
                <w:sz w:val="21"/>
              </w:rPr>
            </w:pPr>
          </w:p>
        </w:tc>
        <w:tc>
          <w:tcPr>
            <w:tcW w:w="8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kern w:val="0"/>
                <w:sz w:val="21"/>
              </w:rPr>
            </w:pPr>
          </w:p>
        </w:tc>
        <w:tc>
          <w:tcPr>
            <w:tcW w:w="91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sz w:val="21"/>
              </w:rPr>
            </w:pPr>
          </w:p>
        </w:tc>
      </w:tr>
    </w:tbl>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a.二次供水指检测设施数。</w:t>
      </w:r>
    </w:p>
    <w:p>
      <w:pPr>
        <w:adjustRightInd w:val="0"/>
        <w:snapToGrid w:val="0"/>
        <w:ind w:left="147" w:hanging="147" w:hangingChars="70"/>
        <w:rPr>
          <w:rFonts w:hint="default" w:ascii="Times New Roman" w:hAnsi="Times New Roman" w:cs="Times New Roman"/>
          <w:sz w:val="21"/>
          <w:szCs w:val="21"/>
        </w:rPr>
      </w:pPr>
      <w:r>
        <w:rPr>
          <w:rFonts w:hint="default" w:ascii="Times New Roman" w:hAnsi="Times New Roman" w:cs="Times New Roman"/>
          <w:sz w:val="21"/>
          <w:szCs w:val="21"/>
        </w:rPr>
        <w:t>b.为表中检测项目均合格的供水单位或二次供水设施数，有一项不合格即判定为不合格单位或设施。</w:t>
      </w:r>
    </w:p>
    <w:p>
      <w:pPr>
        <w:adjustRightInd w:val="0"/>
        <w:snapToGrid w:val="0"/>
        <w:spacing w:line="590" w:lineRule="exact"/>
        <w:rPr>
          <w:rFonts w:hint="default" w:ascii="Times New Roman" w:hAnsi="Times New Roman" w:cs="Times New Roman"/>
          <w:sz w:val="21"/>
          <w:szCs w:val="21"/>
        </w:rPr>
      </w:pPr>
    </w:p>
    <w:p>
      <w:pPr>
        <w:rPr>
          <w:rFonts w:hint="default" w:ascii="Times New Roman" w:hAnsi="Times New Roman" w:cs="Times New Roman"/>
          <w:sz w:val="21"/>
          <w:szCs w:val="21"/>
        </w:rPr>
        <w:sectPr>
          <w:pgSz w:w="16838" w:h="11905" w:orient="landscape"/>
          <w:pgMar w:top="1134" w:right="1134" w:bottom="1134" w:left="1134" w:header="284" w:footer="851" w:gutter="0"/>
          <w:pgNumType w:fmt="decimal"/>
          <w:cols w:space="720" w:num="1"/>
          <w:docGrid w:type="linesAndChars" w:linePitch="439" w:charSpace="0"/>
        </w:sectPr>
      </w:pPr>
    </w:p>
    <w:p>
      <w:pPr>
        <w:adjustRightInd w:val="0"/>
        <w:snapToGrid w:val="0"/>
        <w:spacing w:line="590" w:lineRule="exact"/>
        <w:rPr>
          <w:rFonts w:hint="eastAsia" w:ascii="黑体" w:hAnsi="黑体" w:eastAsia="黑体" w:cs="黑体"/>
        </w:rPr>
      </w:pPr>
      <w:r>
        <w:rPr>
          <w:rFonts w:hint="eastAsia" w:ascii="黑体" w:hAnsi="黑体" w:eastAsia="黑体" w:cs="黑体"/>
        </w:rPr>
        <w:t>附表9</w:t>
      </w:r>
    </w:p>
    <w:p>
      <w:pPr>
        <w:adjustRightInd w:val="0"/>
        <w:snapToGrid w:val="0"/>
        <w:rPr>
          <w:rFonts w:hint="default" w:ascii="Times New Roman" w:hAnsi="Times New Roman" w:cs="Times New Roman"/>
        </w:rPr>
      </w:pPr>
    </w:p>
    <w:p>
      <w:pPr>
        <w:adjustRightInd w:val="0"/>
        <w:snapToGrid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2022年二次供水卫生管理国家随机监督抽查信息汇总表</w:t>
      </w:r>
    </w:p>
    <w:p>
      <w:pPr>
        <w:adjustRightInd w:val="0"/>
        <w:snapToGrid w:val="0"/>
        <w:rPr>
          <w:rFonts w:hint="default" w:ascii="Times New Roman" w:hAnsi="Times New Roman" w:cs="Times New Roman"/>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1"/>
        <w:gridCol w:w="1501"/>
        <w:gridCol w:w="1871"/>
        <w:gridCol w:w="1701"/>
        <w:gridCol w:w="1701"/>
        <w:gridCol w:w="1701"/>
        <w:gridCol w:w="1846"/>
        <w:gridCol w:w="1418"/>
        <w:gridCol w:w="1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2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辖区内二次供水设施总数</w:t>
            </w:r>
          </w:p>
        </w:tc>
        <w:tc>
          <w:tcPr>
            <w:tcW w:w="150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检查设施数</w:t>
            </w:r>
          </w:p>
        </w:tc>
        <w:tc>
          <w:tcPr>
            <w:tcW w:w="6974" w:type="dxa"/>
            <w:gridSpan w:val="4"/>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检查内容符合要求设施数</w:t>
            </w:r>
          </w:p>
        </w:tc>
        <w:tc>
          <w:tcPr>
            <w:tcW w:w="184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检查的二次供水设施中已开展饮用水卫生安全巡查服务的设施数</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案件数</w:t>
            </w:r>
          </w:p>
        </w:tc>
        <w:tc>
          <w:tcPr>
            <w:tcW w:w="137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罚款金额</w:t>
            </w:r>
          </w:p>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2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sz w:val="21"/>
              </w:rPr>
            </w:pPr>
          </w:p>
        </w:tc>
        <w:tc>
          <w:tcPr>
            <w:tcW w:w="1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sz w:val="21"/>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供管水人员健康</w:t>
            </w:r>
          </w:p>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体检和培训</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设施卫生防护及</w:t>
            </w:r>
          </w:p>
          <w:p>
            <w:pPr>
              <w:widowControl/>
              <w:adjustRightInd w:val="0"/>
              <w:snapToGrid w:val="0"/>
              <w:jc w:val="center"/>
              <w:rPr>
                <w:rFonts w:hint="default" w:ascii="Times New Roman" w:hAnsi="Times New Roman" w:eastAsia="黑体" w:cs="Times New Roman"/>
                <w:sz w:val="21"/>
              </w:rPr>
            </w:pPr>
            <w:r>
              <w:rPr>
                <w:rFonts w:hint="default" w:ascii="Times New Roman" w:hAnsi="Times New Roman" w:eastAsia="黑体" w:cs="Times New Roman"/>
                <w:kern w:val="0"/>
                <w:sz w:val="21"/>
              </w:rPr>
              <w:t>周围环境</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储水设备定期</w:t>
            </w:r>
          </w:p>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清洗消毒</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sz w:val="21"/>
              </w:rPr>
            </w:pPr>
            <w:r>
              <w:rPr>
                <w:rFonts w:hint="default" w:ascii="Times New Roman" w:hAnsi="Times New Roman" w:eastAsia="黑体" w:cs="Times New Roman"/>
                <w:kern w:val="0"/>
                <w:sz w:val="21"/>
              </w:rPr>
              <w:t>开展水质自检</w:t>
            </w:r>
          </w:p>
        </w:tc>
        <w:tc>
          <w:tcPr>
            <w:tcW w:w="184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sz w:val="21"/>
              </w:rPr>
            </w:pPr>
          </w:p>
        </w:tc>
        <w:tc>
          <w:tcPr>
            <w:tcW w:w="141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sz w:val="21"/>
              </w:rPr>
            </w:pPr>
          </w:p>
        </w:tc>
        <w:tc>
          <w:tcPr>
            <w:tcW w:w="137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2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kern w:val="0"/>
                <w:sz w:val="21"/>
              </w:rPr>
            </w:pPr>
          </w:p>
        </w:tc>
        <w:tc>
          <w:tcPr>
            <w:tcW w:w="150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kern w:val="0"/>
                <w:sz w:val="21"/>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kern w:val="0"/>
                <w:sz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kern w:val="0"/>
                <w:sz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kern w:val="0"/>
                <w:sz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kern w:val="0"/>
                <w:sz w:val="21"/>
              </w:rPr>
            </w:pPr>
          </w:p>
        </w:tc>
        <w:tc>
          <w:tcPr>
            <w:tcW w:w="1846"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kern w:val="0"/>
                <w:sz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kern w:val="0"/>
                <w:sz w:val="21"/>
              </w:rPr>
            </w:pPr>
          </w:p>
        </w:tc>
        <w:tc>
          <w:tcPr>
            <w:tcW w:w="1376"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kern w:val="0"/>
                <w:sz w:val="21"/>
              </w:rPr>
            </w:pPr>
          </w:p>
        </w:tc>
      </w:tr>
    </w:tbl>
    <w:p>
      <w:pPr>
        <w:adjustRightInd w:val="0"/>
        <w:snapToGrid w:val="0"/>
        <w:spacing w:line="590" w:lineRule="exact"/>
        <w:rPr>
          <w:rFonts w:hint="default" w:ascii="Times New Roman" w:hAnsi="Times New Roman" w:cs="Times New Roman"/>
        </w:rPr>
      </w:pPr>
    </w:p>
    <w:p>
      <w:pPr>
        <w:adjustRightInd w:val="0"/>
        <w:snapToGrid w:val="0"/>
        <w:spacing w:line="590" w:lineRule="exact"/>
        <w:rPr>
          <w:rFonts w:hint="default" w:ascii="Times New Roman" w:hAnsi="Times New Roman" w:cs="Times New Roman"/>
        </w:rPr>
      </w:pPr>
    </w:p>
    <w:p>
      <w:pPr>
        <w:adjustRightInd w:val="0"/>
        <w:snapToGrid w:val="0"/>
        <w:spacing w:line="590" w:lineRule="exact"/>
        <w:rPr>
          <w:rFonts w:hint="default" w:ascii="Times New Roman" w:hAnsi="Times New Roman" w:cs="Times New Roman"/>
          <w:sz w:val="24"/>
        </w:rPr>
      </w:pPr>
    </w:p>
    <w:p>
      <w:pPr>
        <w:adjustRightInd w:val="0"/>
        <w:snapToGrid w:val="0"/>
        <w:spacing w:line="590" w:lineRule="exact"/>
        <w:rPr>
          <w:rFonts w:hint="default" w:ascii="Times New Roman" w:hAnsi="Times New Roman" w:cs="Times New Roman"/>
          <w:sz w:val="24"/>
        </w:rPr>
      </w:pPr>
    </w:p>
    <w:p>
      <w:pPr>
        <w:adjustRightInd w:val="0"/>
        <w:snapToGrid w:val="0"/>
        <w:spacing w:line="590" w:lineRule="exact"/>
        <w:rPr>
          <w:rFonts w:hint="default" w:ascii="Times New Roman" w:hAnsi="Times New Roman" w:cs="Times New Roman"/>
          <w:sz w:val="24"/>
        </w:rPr>
      </w:pPr>
    </w:p>
    <w:p>
      <w:pPr>
        <w:adjustRightInd w:val="0"/>
        <w:snapToGrid w:val="0"/>
        <w:spacing w:line="590" w:lineRule="exact"/>
        <w:rPr>
          <w:rFonts w:hint="default" w:ascii="Times New Roman" w:hAnsi="Times New Roman" w:cs="Times New Roman"/>
          <w:sz w:val="24"/>
        </w:rPr>
      </w:pPr>
    </w:p>
    <w:p>
      <w:pPr>
        <w:adjustRightInd w:val="0"/>
        <w:snapToGrid w:val="0"/>
        <w:spacing w:line="590" w:lineRule="exact"/>
        <w:rPr>
          <w:rFonts w:hint="default" w:ascii="Times New Roman" w:hAnsi="Times New Roman" w:cs="Times New Roman"/>
          <w:sz w:val="24"/>
        </w:rPr>
      </w:pPr>
    </w:p>
    <w:p>
      <w:pPr>
        <w:adjustRightInd w:val="0"/>
        <w:snapToGrid w:val="0"/>
        <w:spacing w:line="590" w:lineRule="exact"/>
        <w:rPr>
          <w:rFonts w:hint="default" w:ascii="Times New Roman" w:hAnsi="Times New Roman" w:cs="Times New Roman"/>
          <w:sz w:val="24"/>
        </w:rPr>
      </w:pPr>
    </w:p>
    <w:p>
      <w:pPr>
        <w:adjustRightInd w:val="0"/>
        <w:snapToGrid w:val="0"/>
        <w:spacing w:line="590" w:lineRule="exact"/>
        <w:rPr>
          <w:rFonts w:hint="default" w:ascii="Times New Roman" w:hAnsi="Times New Roman" w:cs="Times New Roman"/>
          <w:sz w:val="24"/>
        </w:rPr>
      </w:pPr>
    </w:p>
    <w:p>
      <w:pPr>
        <w:adjustRightInd w:val="0"/>
        <w:snapToGrid w:val="0"/>
        <w:spacing w:line="590" w:lineRule="exact"/>
        <w:rPr>
          <w:rFonts w:hint="eastAsia" w:ascii="黑体" w:hAnsi="黑体" w:eastAsia="黑体" w:cs="黑体"/>
        </w:rPr>
      </w:pPr>
      <w:r>
        <w:rPr>
          <w:rFonts w:hint="eastAsia" w:ascii="黑体" w:hAnsi="黑体" w:eastAsia="黑体" w:cs="黑体"/>
        </w:rPr>
        <w:t>附表10</w:t>
      </w:r>
    </w:p>
    <w:p>
      <w:pPr>
        <w:adjustRightInd w:val="0"/>
        <w:snapToGrid w:val="0"/>
        <w:rPr>
          <w:rFonts w:hint="default" w:ascii="Times New Roman" w:hAnsi="Times New Roman" w:cs="Times New Roman"/>
        </w:rPr>
      </w:pPr>
    </w:p>
    <w:p>
      <w:pPr>
        <w:adjustRightInd w:val="0"/>
        <w:snapToGrid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2022年涉水产品经营单位国家随机监督抽查信息汇总表</w:t>
      </w:r>
    </w:p>
    <w:p>
      <w:pPr>
        <w:adjustRightInd w:val="0"/>
        <w:snapToGrid w:val="0"/>
        <w:rPr>
          <w:rFonts w:hint="default" w:ascii="Times New Roman" w:hAnsi="Times New Roman" w:cs="Times New Roman"/>
        </w:rPr>
      </w:pPr>
    </w:p>
    <w:tbl>
      <w:tblPr>
        <w:tblStyle w:val="4"/>
        <w:tblW w:w="146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48"/>
        <w:gridCol w:w="1134"/>
        <w:gridCol w:w="1134"/>
        <w:gridCol w:w="1134"/>
        <w:gridCol w:w="1134"/>
        <w:gridCol w:w="1134"/>
        <w:gridCol w:w="993"/>
        <w:gridCol w:w="1134"/>
        <w:gridCol w:w="1275"/>
        <w:gridCol w:w="993"/>
        <w:gridCol w:w="1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44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单位类别</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检查</w:t>
            </w:r>
          </w:p>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单位数</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单位</w:t>
            </w:r>
          </w:p>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合格数(a)</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检查</w:t>
            </w:r>
          </w:p>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产品数</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产品检查合格数(b)</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发现无证产品数</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检测</w:t>
            </w:r>
          </w:p>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产品数</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产品检测合格数</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责令限期改正单位数</w:t>
            </w:r>
          </w:p>
        </w:tc>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案件数</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eastAsia="黑体" w:cs="Times New Roman"/>
                <w:kern w:val="0"/>
                <w:sz w:val="21"/>
              </w:rPr>
            </w:pPr>
            <w:r>
              <w:rPr>
                <w:rFonts w:hint="default" w:ascii="Times New Roman" w:hAnsi="Times New Roman" w:eastAsia="黑体" w:cs="Times New Roman"/>
                <w:kern w:val="0"/>
                <w:sz w:val="21"/>
              </w:rPr>
              <w:t>罚款金额（万元）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448"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在华责任单位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448"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城市实体经销单位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r>
              <w:rPr>
                <w:rFonts w:hint="eastAsia" w:ascii="仿宋_GB2312" w:hAnsi="仿宋_GB2312" w:cs="仿宋_GB2312"/>
              </w:rPr>
              <w:t>—</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r>
              <w:rPr>
                <w:rFonts w:hint="eastAsia" w:ascii="仿宋_GB2312" w:hAnsi="仿宋_GB2312" w:cs="仿宋_GB2312"/>
              </w:rPr>
              <w:t>—</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448"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乡镇实体经销单位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r>
              <w:rPr>
                <w:rFonts w:hint="eastAsia" w:ascii="仿宋_GB2312" w:hAnsi="仿宋_GB2312" w:cs="仿宋_GB2312"/>
              </w:rPr>
              <w:t>—</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r>
              <w:rPr>
                <w:rFonts w:hint="eastAsia" w:ascii="仿宋_GB2312" w:hAnsi="仿宋_GB2312" w:cs="仿宋_GB2312"/>
              </w:rPr>
              <w:t>—</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448"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网店</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r>
              <w:rPr>
                <w:rFonts w:hint="eastAsia" w:ascii="仿宋_GB2312" w:hAnsi="仿宋_GB2312" w:cs="仿宋_GB2312"/>
              </w:rPr>
              <w:t>—</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r>
              <w:rPr>
                <w:rFonts w:hint="eastAsia" w:ascii="仿宋_GB2312" w:hAnsi="仿宋_GB2312" w:cs="仿宋_GB2312"/>
              </w:rPr>
              <w:t>—</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448"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现制现售饮用水经营单位(c)</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cs="仿宋_GB2312"/>
              </w:rPr>
            </w:pPr>
          </w:p>
        </w:tc>
      </w:tr>
    </w:tbl>
    <w:p>
      <w:pPr>
        <w:adjustRightInd w:val="0"/>
        <w:snapToGrid w:val="0"/>
        <w:ind w:left="147" w:hanging="147" w:hangingChars="70"/>
        <w:rPr>
          <w:rFonts w:hint="eastAsia" w:ascii="仿宋_GB2312" w:hAnsi="仿宋_GB2312" w:cs="仿宋_GB2312"/>
          <w:sz w:val="21"/>
          <w:szCs w:val="21"/>
        </w:rPr>
      </w:pPr>
      <w:r>
        <w:rPr>
          <w:rFonts w:hint="eastAsia" w:ascii="仿宋_GB2312" w:hAnsi="仿宋_GB2312" w:cs="仿宋_GB2312"/>
          <w:sz w:val="21"/>
          <w:szCs w:val="21"/>
        </w:rPr>
        <w:t>a.产品取得卫生许可批件，产品检查和检测均合格的单位数。</w:t>
      </w:r>
    </w:p>
    <w:p>
      <w:pPr>
        <w:adjustRightInd w:val="0"/>
        <w:snapToGrid w:val="0"/>
        <w:ind w:left="147" w:hanging="147" w:hangingChars="70"/>
        <w:rPr>
          <w:rFonts w:hint="eastAsia" w:ascii="仿宋_GB2312" w:hAnsi="仿宋_GB2312" w:cs="仿宋_GB2312"/>
          <w:sz w:val="21"/>
          <w:szCs w:val="21"/>
        </w:rPr>
      </w:pPr>
      <w:r>
        <w:rPr>
          <w:rFonts w:hint="eastAsia" w:ascii="仿宋_GB2312" w:hAnsi="仿宋_GB2312" w:cs="仿宋_GB2312"/>
          <w:sz w:val="21"/>
          <w:szCs w:val="21"/>
        </w:rPr>
        <w:t>b.产品取得卫生许可批件及标签、说明书均合格的产品数。</w:t>
      </w:r>
    </w:p>
    <w:p>
      <w:pPr>
        <w:adjustRightInd w:val="0"/>
        <w:snapToGrid w:val="0"/>
        <w:spacing w:line="590" w:lineRule="exact"/>
        <w:rPr>
          <w:rFonts w:hint="eastAsia" w:ascii="仿宋_GB2312" w:hAnsi="仿宋_GB2312" w:cs="仿宋_GB2312"/>
          <w:sz w:val="21"/>
          <w:szCs w:val="21"/>
        </w:rPr>
      </w:pPr>
      <w:r>
        <w:rPr>
          <w:rFonts w:hint="eastAsia" w:ascii="仿宋_GB2312" w:hAnsi="仿宋_GB2312" w:cs="仿宋_GB2312"/>
          <w:sz w:val="21"/>
          <w:szCs w:val="21"/>
        </w:rPr>
        <w:t>c.产品数指应用现场数。</w:t>
      </w:r>
    </w:p>
    <w:p>
      <w:pPr>
        <w:adjustRightInd w:val="0"/>
        <w:snapToGrid w:val="0"/>
        <w:spacing w:line="590" w:lineRule="exact"/>
        <w:rPr>
          <w:rFonts w:hint="eastAsia" w:ascii="仿宋_GB2312" w:hAnsi="仿宋_GB2312" w:cs="仿宋_GB2312"/>
          <w:sz w:val="21"/>
          <w:szCs w:val="21"/>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adjustRightInd w:val="0"/>
        <w:snapToGrid w:val="0"/>
        <w:spacing w:line="590" w:lineRule="exact"/>
        <w:rPr>
          <w:rFonts w:hint="eastAsia" w:ascii="黑体" w:hAnsi="黑体" w:eastAsia="黑体" w:cs="黑体"/>
        </w:rPr>
      </w:pPr>
      <w:r>
        <w:rPr>
          <w:rFonts w:hint="eastAsia" w:ascii="黑体" w:hAnsi="黑体" w:eastAsia="黑体" w:cs="黑体"/>
        </w:rPr>
        <w:t>附表11</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sz w:val="44"/>
          <w:szCs w:val="44"/>
        </w:rPr>
        <w:t>2022年度福建省输配水设备生产企业抽检清单</w:t>
      </w:r>
    </w:p>
    <w:tbl>
      <w:tblPr>
        <w:tblStyle w:val="4"/>
        <w:tblW w:w="138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4215"/>
        <w:gridCol w:w="8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112"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序号</w:t>
            </w:r>
          </w:p>
        </w:tc>
        <w:tc>
          <w:tcPr>
            <w:tcW w:w="4215"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生产单位</w:t>
            </w:r>
          </w:p>
        </w:tc>
        <w:tc>
          <w:tcPr>
            <w:tcW w:w="8567"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实际生产单位地址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112" w:type="dxa"/>
            <w:noWrap w:val="0"/>
            <w:vAlign w:val="center"/>
          </w:tcPr>
          <w:p>
            <w:pPr>
              <w:spacing w:line="44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1</w:t>
            </w:r>
          </w:p>
        </w:tc>
        <w:tc>
          <w:tcPr>
            <w:tcW w:w="4215" w:type="dxa"/>
            <w:noWrap w:val="0"/>
            <w:vAlign w:val="center"/>
          </w:tcPr>
          <w:p>
            <w:pPr>
              <w:widowControl/>
              <w:spacing w:line="4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福建新通源复合材料科技有限公司</w:t>
            </w:r>
          </w:p>
        </w:tc>
        <w:tc>
          <w:tcPr>
            <w:tcW w:w="8567" w:type="dxa"/>
            <w:noWrap w:val="0"/>
            <w:vAlign w:val="center"/>
          </w:tcPr>
          <w:p>
            <w:pPr>
              <w:widowControl/>
              <w:spacing w:line="4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三明高新技术产业开发区金沙园（沙县西郊）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112" w:type="dxa"/>
            <w:noWrap w:val="0"/>
            <w:vAlign w:val="center"/>
          </w:tcPr>
          <w:p>
            <w:pPr>
              <w:spacing w:line="44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2</w:t>
            </w:r>
          </w:p>
        </w:tc>
        <w:tc>
          <w:tcPr>
            <w:tcW w:w="4215" w:type="dxa"/>
            <w:noWrap w:val="0"/>
            <w:vAlign w:val="center"/>
          </w:tcPr>
          <w:p>
            <w:pPr>
              <w:widowControl/>
              <w:spacing w:line="4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福建赛维特管道科技有限公司</w:t>
            </w:r>
          </w:p>
        </w:tc>
        <w:tc>
          <w:tcPr>
            <w:tcW w:w="8567" w:type="dxa"/>
            <w:noWrap w:val="0"/>
            <w:vAlign w:val="center"/>
          </w:tcPr>
          <w:p>
            <w:pPr>
              <w:widowControl/>
              <w:spacing w:line="4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福建省漳州台商投资区角美镇凤山工业园角江路28号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112" w:type="dxa"/>
            <w:noWrap w:val="0"/>
            <w:vAlign w:val="center"/>
          </w:tcPr>
          <w:p>
            <w:pPr>
              <w:spacing w:line="44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3</w:t>
            </w:r>
          </w:p>
        </w:tc>
        <w:tc>
          <w:tcPr>
            <w:tcW w:w="4215" w:type="dxa"/>
            <w:noWrap w:val="0"/>
            <w:vAlign w:val="center"/>
          </w:tcPr>
          <w:p>
            <w:pPr>
              <w:widowControl/>
              <w:spacing w:line="4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漳州市裕豪金属材料有限公司</w:t>
            </w:r>
          </w:p>
        </w:tc>
        <w:tc>
          <w:tcPr>
            <w:tcW w:w="8567" w:type="dxa"/>
            <w:noWrap w:val="0"/>
            <w:vAlign w:val="center"/>
          </w:tcPr>
          <w:p>
            <w:pPr>
              <w:widowControl/>
              <w:spacing w:line="4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龙海市角美镇桥头村文圃工业区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112" w:type="dxa"/>
            <w:noWrap w:val="0"/>
            <w:vAlign w:val="center"/>
          </w:tcPr>
          <w:p>
            <w:pPr>
              <w:spacing w:line="44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4</w:t>
            </w:r>
          </w:p>
        </w:tc>
        <w:tc>
          <w:tcPr>
            <w:tcW w:w="4215" w:type="dxa"/>
            <w:noWrap w:val="0"/>
            <w:vAlign w:val="center"/>
          </w:tcPr>
          <w:p>
            <w:pPr>
              <w:widowControl/>
              <w:spacing w:line="38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福建省诏安鸿辉不锈钢材料有限公司</w:t>
            </w:r>
          </w:p>
        </w:tc>
        <w:tc>
          <w:tcPr>
            <w:tcW w:w="8567" w:type="dxa"/>
            <w:noWrap w:val="0"/>
            <w:vAlign w:val="center"/>
          </w:tcPr>
          <w:p>
            <w:pPr>
              <w:widowControl/>
              <w:spacing w:line="4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漳州市诏安县西潭乡新厝村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112" w:type="dxa"/>
            <w:noWrap w:val="0"/>
            <w:vAlign w:val="center"/>
          </w:tcPr>
          <w:p>
            <w:pPr>
              <w:spacing w:line="44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5</w:t>
            </w:r>
          </w:p>
        </w:tc>
        <w:tc>
          <w:tcPr>
            <w:tcW w:w="4215" w:type="dxa"/>
            <w:noWrap w:val="0"/>
            <w:vAlign w:val="center"/>
          </w:tcPr>
          <w:p>
            <w:pPr>
              <w:widowControl/>
              <w:spacing w:line="4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福建利展管业科技有限公司</w:t>
            </w:r>
          </w:p>
        </w:tc>
        <w:tc>
          <w:tcPr>
            <w:tcW w:w="8567" w:type="dxa"/>
            <w:noWrap w:val="0"/>
            <w:vAlign w:val="center"/>
          </w:tcPr>
          <w:p>
            <w:pPr>
              <w:widowControl/>
              <w:spacing w:line="440" w:lineRule="exact"/>
              <w:rPr>
                <w:rFonts w:hint="eastAsia" w:ascii="仿宋_GB2312" w:hAnsi="仿宋_GB2312" w:eastAsia="仿宋_GB2312" w:cs="仿宋_GB2312"/>
                <w:kern w:val="0"/>
                <w:sz w:val="21"/>
                <w:szCs w:val="21"/>
              </w:rPr>
            </w:pPr>
            <w:r>
              <w:rPr>
                <w:rStyle w:val="6"/>
                <w:rFonts w:hint="eastAsia" w:ascii="仿宋_GB2312" w:hAnsi="仿宋_GB2312" w:eastAsia="仿宋_GB2312" w:cs="仿宋_GB2312"/>
                <w:color w:val="auto"/>
                <w:kern w:val="0"/>
              </w:rPr>
              <w:t>福建省宁德市古田县大甲镇工业园区6号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112" w:type="dxa"/>
            <w:noWrap w:val="0"/>
            <w:vAlign w:val="center"/>
          </w:tcPr>
          <w:p>
            <w:pPr>
              <w:spacing w:line="44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6</w:t>
            </w:r>
          </w:p>
        </w:tc>
        <w:tc>
          <w:tcPr>
            <w:tcW w:w="4215" w:type="dxa"/>
            <w:noWrap w:val="0"/>
            <w:vAlign w:val="center"/>
          </w:tcPr>
          <w:p>
            <w:pPr>
              <w:widowControl/>
              <w:spacing w:line="38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宁德市蕉城区健佳不锈钢水塔制品厂</w:t>
            </w:r>
          </w:p>
        </w:tc>
        <w:tc>
          <w:tcPr>
            <w:tcW w:w="8567" w:type="dxa"/>
            <w:noWrap w:val="0"/>
            <w:vAlign w:val="center"/>
          </w:tcPr>
          <w:p>
            <w:pPr>
              <w:widowControl/>
              <w:spacing w:line="4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宁德市蕉城区国道路90号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12" w:type="dxa"/>
            <w:noWrap w:val="0"/>
            <w:vAlign w:val="center"/>
          </w:tcPr>
          <w:p>
            <w:pPr>
              <w:spacing w:line="44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7</w:t>
            </w:r>
          </w:p>
        </w:tc>
        <w:tc>
          <w:tcPr>
            <w:tcW w:w="4215" w:type="dxa"/>
            <w:noWrap w:val="0"/>
            <w:vAlign w:val="center"/>
          </w:tcPr>
          <w:p>
            <w:pPr>
              <w:widowControl/>
              <w:spacing w:line="4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福建省莆田市华发实业有限公司</w:t>
            </w:r>
          </w:p>
        </w:tc>
        <w:tc>
          <w:tcPr>
            <w:tcW w:w="8567" w:type="dxa"/>
            <w:noWrap w:val="0"/>
            <w:vAlign w:val="center"/>
          </w:tcPr>
          <w:p>
            <w:pPr>
              <w:widowControl/>
              <w:spacing w:line="4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福建省莆田市仙游县枫亭开发区海朱路26号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2" w:type="dxa"/>
            <w:noWrap w:val="0"/>
            <w:vAlign w:val="center"/>
          </w:tcPr>
          <w:p>
            <w:pPr>
              <w:spacing w:line="44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8</w:t>
            </w:r>
          </w:p>
        </w:tc>
        <w:tc>
          <w:tcPr>
            <w:tcW w:w="4215" w:type="dxa"/>
            <w:noWrap w:val="0"/>
            <w:vAlign w:val="center"/>
          </w:tcPr>
          <w:p>
            <w:pPr>
              <w:widowControl/>
              <w:spacing w:line="4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福建省纬宇塑胶有限公司</w:t>
            </w:r>
          </w:p>
        </w:tc>
        <w:tc>
          <w:tcPr>
            <w:tcW w:w="8567" w:type="dxa"/>
            <w:noWrap w:val="0"/>
            <w:vAlign w:val="center"/>
          </w:tcPr>
          <w:p>
            <w:pPr>
              <w:widowControl/>
              <w:spacing w:line="38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管材生产：福建省莆田市仙游县鲤南镇仙妃路2320号</w:t>
            </w:r>
          </w:p>
          <w:p>
            <w:pPr>
              <w:widowControl/>
              <w:spacing w:line="38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管件生产：福建省莆田市仙游县鲤南镇仙妃路400号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12" w:type="dxa"/>
            <w:noWrap w:val="0"/>
            <w:vAlign w:val="center"/>
          </w:tcPr>
          <w:p>
            <w:pPr>
              <w:spacing w:line="44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9</w:t>
            </w:r>
          </w:p>
        </w:tc>
        <w:tc>
          <w:tcPr>
            <w:tcW w:w="4215" w:type="dxa"/>
            <w:noWrap w:val="0"/>
            <w:vAlign w:val="center"/>
          </w:tcPr>
          <w:p>
            <w:pPr>
              <w:widowControl/>
              <w:spacing w:line="4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福建革升不锈钢水管有限公司</w:t>
            </w:r>
          </w:p>
        </w:tc>
        <w:tc>
          <w:tcPr>
            <w:tcW w:w="8567" w:type="dxa"/>
            <w:noWrap w:val="0"/>
            <w:vAlign w:val="center"/>
          </w:tcPr>
          <w:p>
            <w:pPr>
              <w:widowControl/>
              <w:spacing w:line="4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福建省南安市榕桥项目集中区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112" w:type="dxa"/>
            <w:noWrap w:val="0"/>
            <w:vAlign w:val="center"/>
          </w:tcPr>
          <w:p>
            <w:pPr>
              <w:spacing w:line="44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10</w:t>
            </w:r>
          </w:p>
        </w:tc>
        <w:tc>
          <w:tcPr>
            <w:tcW w:w="4215" w:type="dxa"/>
            <w:noWrap w:val="0"/>
            <w:vAlign w:val="center"/>
          </w:tcPr>
          <w:p>
            <w:pPr>
              <w:widowControl/>
              <w:spacing w:line="4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复兴消防科技有限公司</w:t>
            </w:r>
          </w:p>
        </w:tc>
        <w:tc>
          <w:tcPr>
            <w:tcW w:w="8567" w:type="dxa"/>
            <w:noWrap w:val="0"/>
            <w:vAlign w:val="center"/>
          </w:tcPr>
          <w:p>
            <w:pPr>
              <w:widowControl/>
              <w:spacing w:line="44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福建省南安市美林街道溪口工业区</w:t>
            </w:r>
          </w:p>
        </w:tc>
      </w:tr>
    </w:tbl>
    <w:p>
      <w:pPr>
        <w:rPr>
          <w:rFonts w:hint="default" w:ascii="Times New Roman" w:hAnsi="Times New Roman" w:cs="Times New Roman"/>
        </w:rPr>
      </w:pPr>
      <w:r>
        <w:rPr>
          <w:rFonts w:hint="default" w:ascii="Times New Roman" w:hAnsi="Times New Roman" w:eastAsia="宋体" w:cs="Times New Roman"/>
          <w:b/>
          <w:bCs/>
          <w:sz w:val="30"/>
        </w:rPr>
        <w:br w:type="page"/>
      </w:r>
      <w:r>
        <w:rPr>
          <w:rFonts w:hint="eastAsia" w:ascii="黑体" w:hAnsi="黑体" w:eastAsia="黑体" w:cs="黑体"/>
        </w:rPr>
        <w:t>附表12</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sz w:val="44"/>
          <w:szCs w:val="44"/>
        </w:rPr>
        <w:t>2022年度福建省化学处理剂生产企业抽检清单</w:t>
      </w:r>
    </w:p>
    <w:tbl>
      <w:tblPr>
        <w:tblStyle w:val="4"/>
        <w:tblW w:w="139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4965"/>
        <w:gridCol w:w="7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143"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序号</w:t>
            </w:r>
          </w:p>
        </w:tc>
        <w:tc>
          <w:tcPr>
            <w:tcW w:w="4965"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生产单位</w:t>
            </w:r>
          </w:p>
        </w:tc>
        <w:tc>
          <w:tcPr>
            <w:tcW w:w="7847"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实际生产单位地址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1</w:t>
            </w:r>
          </w:p>
        </w:tc>
        <w:tc>
          <w:tcPr>
            <w:tcW w:w="4965"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福建融泉净水剂有限公司</w:t>
            </w:r>
          </w:p>
        </w:tc>
        <w:tc>
          <w:tcPr>
            <w:tcW w:w="7847"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福州市元洪投资区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2</w:t>
            </w:r>
          </w:p>
        </w:tc>
        <w:tc>
          <w:tcPr>
            <w:tcW w:w="4965"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龙岩连润新能源科技有限公司</w:t>
            </w:r>
          </w:p>
        </w:tc>
        <w:tc>
          <w:tcPr>
            <w:tcW w:w="7847"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龙岩市连城县朋口工业园区二畲路7号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3</w:t>
            </w:r>
          </w:p>
        </w:tc>
        <w:tc>
          <w:tcPr>
            <w:tcW w:w="4965"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福建省盛民环保科技发展有限公司</w:t>
            </w:r>
          </w:p>
        </w:tc>
        <w:tc>
          <w:tcPr>
            <w:tcW w:w="7847"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福建省顺昌元坑镇九村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4</w:t>
            </w:r>
          </w:p>
        </w:tc>
        <w:tc>
          <w:tcPr>
            <w:tcW w:w="4965"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福州九阳化工有限公司</w:t>
            </w:r>
          </w:p>
        </w:tc>
        <w:tc>
          <w:tcPr>
            <w:tcW w:w="7847"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福州市福清市江阴镇南曹村591号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5</w:t>
            </w:r>
          </w:p>
        </w:tc>
        <w:tc>
          <w:tcPr>
            <w:tcW w:w="4965"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石狮市爱星环保科技有限公司</w:t>
            </w:r>
          </w:p>
        </w:tc>
        <w:tc>
          <w:tcPr>
            <w:tcW w:w="7847"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石狮市宝盖镇科技园威斯登工业园26栋4楼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6</w:t>
            </w:r>
          </w:p>
        </w:tc>
        <w:tc>
          <w:tcPr>
            <w:tcW w:w="4965"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福建省东南电化股份有限公司</w:t>
            </w:r>
          </w:p>
        </w:tc>
        <w:tc>
          <w:tcPr>
            <w:tcW w:w="7847"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福建省福州市福清市江阴镇江阴工业集中区国盛大道3号</w:t>
            </w:r>
          </w:p>
        </w:tc>
      </w:tr>
    </w:tbl>
    <w:p>
      <w:pPr>
        <w:rPr>
          <w:rFonts w:hint="default" w:ascii="Times New Roman" w:hAnsi="Times New Roman" w:cs="Times New Roman"/>
        </w:rPr>
      </w:pPr>
    </w:p>
    <w:p>
      <w:pPr>
        <w:rPr>
          <w:rFonts w:hint="default" w:ascii="Times New Roman" w:hAnsi="Times New Roman" w:cs="Times New Roman"/>
        </w:rPr>
      </w:pPr>
    </w:p>
    <w:p>
      <w:pPr>
        <w:widowControl/>
        <w:jc w:val="left"/>
        <w:rPr>
          <w:rFonts w:hint="default" w:ascii="Times New Roman" w:hAnsi="Times New Roman" w:cs="Times New Roman"/>
        </w:rPr>
      </w:pPr>
      <w:r>
        <w:rPr>
          <w:rFonts w:hint="default" w:ascii="Times New Roman" w:hAnsi="Times New Roman" w:cs="Times New Roman"/>
        </w:rPr>
        <w:br w:type="page"/>
      </w:r>
      <w:r>
        <w:rPr>
          <w:rFonts w:hint="eastAsia" w:ascii="黑体" w:hAnsi="黑体" w:eastAsia="黑体" w:cs="黑体"/>
          <w:sz w:val="32"/>
          <w:szCs w:val="24"/>
        </w:rPr>
        <w:t>附表13</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sz w:val="44"/>
          <w:szCs w:val="44"/>
        </w:rPr>
        <w:t>2022年度福建省水处理材料生产企业抽检清单</w:t>
      </w:r>
    </w:p>
    <w:tbl>
      <w:tblPr>
        <w:tblStyle w:val="4"/>
        <w:tblW w:w="13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4965"/>
        <w:gridCol w:w="7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163"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序号</w:t>
            </w:r>
          </w:p>
        </w:tc>
        <w:tc>
          <w:tcPr>
            <w:tcW w:w="4965"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生产单位</w:t>
            </w:r>
          </w:p>
        </w:tc>
        <w:tc>
          <w:tcPr>
            <w:tcW w:w="7837"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实际生产单位地址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1</w:t>
            </w:r>
          </w:p>
        </w:tc>
        <w:tc>
          <w:tcPr>
            <w:tcW w:w="4965"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厦门米兹净水科技有限公司</w:t>
            </w:r>
          </w:p>
        </w:tc>
        <w:tc>
          <w:tcPr>
            <w:tcW w:w="7837"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厦门市翔安区内厝镇赵岗路286号四楼401厂房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2</w:t>
            </w:r>
          </w:p>
        </w:tc>
        <w:tc>
          <w:tcPr>
            <w:tcW w:w="4965"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三达膜科技(厦门)有限公司</w:t>
            </w:r>
          </w:p>
        </w:tc>
        <w:tc>
          <w:tcPr>
            <w:tcW w:w="7837"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厦门市集美区杏林锦亭北路66号（主厂房）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3</w:t>
            </w:r>
          </w:p>
        </w:tc>
        <w:tc>
          <w:tcPr>
            <w:tcW w:w="4965"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海加尔（厦门）科技有限公司</w:t>
            </w:r>
          </w:p>
        </w:tc>
        <w:tc>
          <w:tcPr>
            <w:tcW w:w="7837"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厦门市同安区同集中路1339号一号厂房一楼东侧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4</w:t>
            </w:r>
          </w:p>
        </w:tc>
        <w:tc>
          <w:tcPr>
            <w:tcW w:w="4965"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漳州众环科技股份有限公司</w:t>
            </w:r>
          </w:p>
        </w:tc>
        <w:tc>
          <w:tcPr>
            <w:tcW w:w="7837"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福建省漳州市芗城区金峰开发区金达路10号万利达工业园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5</w:t>
            </w:r>
          </w:p>
        </w:tc>
        <w:tc>
          <w:tcPr>
            <w:tcW w:w="4965"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福建清莲水处理科技有限公司</w:t>
            </w:r>
          </w:p>
        </w:tc>
        <w:tc>
          <w:tcPr>
            <w:tcW w:w="7837"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福建省泉州市南安市仑苍镇高新开发区西路256号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6</w:t>
            </w:r>
          </w:p>
        </w:tc>
        <w:tc>
          <w:tcPr>
            <w:tcW w:w="4965"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厦门艾淇尔科技有限公司</w:t>
            </w:r>
          </w:p>
        </w:tc>
        <w:tc>
          <w:tcPr>
            <w:tcW w:w="7837"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厦门市同安区工业集中区同安园291号第五层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7</w:t>
            </w:r>
          </w:p>
        </w:tc>
        <w:tc>
          <w:tcPr>
            <w:tcW w:w="4965"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福建滤冠新型材料科技有限公司</w:t>
            </w:r>
          </w:p>
        </w:tc>
        <w:tc>
          <w:tcPr>
            <w:tcW w:w="7837"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福建省泉州经济技术开发区兴泰路24号铭利大厦7楼A区</w:t>
            </w:r>
          </w:p>
        </w:tc>
      </w:tr>
    </w:tbl>
    <w:p>
      <w:pPr>
        <w:rPr>
          <w:rFonts w:hint="default" w:ascii="Times New Roman" w:hAnsi="Times New Roman" w:cs="Times New Roman"/>
        </w:rPr>
      </w:pPr>
    </w:p>
    <w:p>
      <w:pPr>
        <w:rPr>
          <w:rFonts w:hint="default" w:ascii="Times New Roman" w:hAnsi="Times New Roman" w:cs="Times New Roman"/>
        </w:rPr>
      </w:pPr>
    </w:p>
    <w:p>
      <w:pPr>
        <w:widowControl/>
        <w:jc w:val="left"/>
        <w:rPr>
          <w:rFonts w:hint="default" w:ascii="Times New Roman" w:hAnsi="Times New Roman" w:cs="Times New Roman"/>
        </w:rPr>
      </w:pPr>
      <w:r>
        <w:rPr>
          <w:rFonts w:hint="default" w:ascii="Times New Roman" w:hAnsi="Times New Roman" w:cs="Times New Roman"/>
        </w:rPr>
        <w:br w:type="page"/>
      </w:r>
      <w:r>
        <w:rPr>
          <w:rFonts w:hint="eastAsia" w:ascii="黑体" w:hAnsi="黑体" w:eastAsia="黑体" w:cs="黑体"/>
        </w:rPr>
        <w:t>附表14</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sz w:val="44"/>
          <w:szCs w:val="44"/>
        </w:rPr>
        <w:t>2022年度福建省水质处理器生产企业抽检清单</w:t>
      </w:r>
    </w:p>
    <w:tbl>
      <w:tblPr>
        <w:tblStyle w:val="4"/>
        <w:tblW w:w="140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4560"/>
        <w:gridCol w:w="8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93"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序号</w:t>
            </w:r>
          </w:p>
        </w:tc>
        <w:tc>
          <w:tcPr>
            <w:tcW w:w="4560"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生产单位</w:t>
            </w:r>
          </w:p>
        </w:tc>
        <w:tc>
          <w:tcPr>
            <w:tcW w:w="8572"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实际生产单位地址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1</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福州金源泉科技有限公司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福州市仓山区建新镇金榕北路22号厂房A1三层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2</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佰益健（福建）生物科技有限公司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福建省漳平市箐城街道富山北路1号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3</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厦门欧维士科技有限公司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福建省厦门高崎北五路28号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4</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厦门康倍尔智能科技有限公司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厦门市集美区井泉路89号2楼西侧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5</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世普康（厦门）环保科技有限公司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厦门火炬高新区（翔安）产业区翔星路88号台湾科技企业育成中心北E606A室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6</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上海奇奈佳净水科技有限公司泉州分公司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福建省泉州市南安市丰州镇桃源村新厝口78号二栋五楼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7</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克里斯沃肯（厦门）科技有限公司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厦门市集美区李林村中仑社212号5层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8</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厦门金日生物技术有限公司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厦门市同安区金日路1号一号厂房</w:t>
            </w:r>
          </w:p>
        </w:tc>
      </w:tr>
    </w:tbl>
    <w:p>
      <w:pPr>
        <w:rPr>
          <w:rFonts w:hint="default" w:ascii="Times New Roman" w:hAnsi="Times New Roman" w:cs="Times New Roman"/>
        </w:rPr>
      </w:pPr>
    </w:p>
    <w:p>
      <w:pPr>
        <w:jc w:val="left"/>
        <w:rPr>
          <w:rFonts w:hint="default" w:ascii="Times New Roman" w:hAnsi="Times New Roman" w:cs="Times New Roman"/>
        </w:rPr>
      </w:pPr>
    </w:p>
    <w:p>
      <w:pPr>
        <w:widowControl/>
        <w:jc w:val="left"/>
        <w:rPr>
          <w:rFonts w:hint="default" w:ascii="Times New Roman" w:hAnsi="Times New Roman" w:cs="Times New Roman"/>
        </w:rPr>
      </w:pPr>
      <w:r>
        <w:rPr>
          <w:rFonts w:hint="default" w:ascii="Times New Roman" w:hAnsi="Times New Roman" w:cs="Times New Roman"/>
        </w:rPr>
        <w:br w:type="page"/>
      </w:r>
      <w:r>
        <w:rPr>
          <w:rFonts w:hint="eastAsia" w:ascii="黑体" w:hAnsi="黑体" w:eastAsia="黑体" w:cs="黑体"/>
        </w:rPr>
        <w:t>附表15</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sz w:val="44"/>
          <w:szCs w:val="44"/>
        </w:rPr>
        <w:t>2022年度福建省涉水产品在华责任单位抽检清单</w:t>
      </w:r>
    </w:p>
    <w:tbl>
      <w:tblPr>
        <w:tblStyle w:val="4"/>
        <w:tblpPr w:leftFromText="180" w:rightFromText="180" w:vertAnchor="text" w:horzAnchor="page" w:tblpX="1176" w:tblpY="424"/>
        <w:tblOverlap w:val="never"/>
        <w:tblW w:w="147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3930"/>
        <w:gridCol w:w="3900"/>
        <w:gridCol w:w="4680"/>
        <w:gridCol w:w="1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65" w:type="dxa"/>
            <w:noWrap w:val="0"/>
            <w:vAlign w:val="center"/>
          </w:tcPr>
          <w:p>
            <w:pPr>
              <w:spacing w:line="32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序号</w:t>
            </w:r>
          </w:p>
        </w:tc>
        <w:tc>
          <w:tcPr>
            <w:tcW w:w="3930" w:type="dxa"/>
            <w:noWrap w:val="0"/>
            <w:vAlign w:val="center"/>
          </w:tcPr>
          <w:p>
            <w:pPr>
              <w:spacing w:line="32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申请单位</w:t>
            </w:r>
          </w:p>
        </w:tc>
        <w:tc>
          <w:tcPr>
            <w:tcW w:w="3900" w:type="dxa"/>
            <w:noWrap w:val="0"/>
            <w:vAlign w:val="center"/>
          </w:tcPr>
          <w:p>
            <w:pPr>
              <w:spacing w:line="32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在华责任单位</w:t>
            </w:r>
          </w:p>
        </w:tc>
        <w:tc>
          <w:tcPr>
            <w:tcW w:w="4680" w:type="dxa"/>
            <w:noWrap w:val="0"/>
            <w:vAlign w:val="center"/>
          </w:tcPr>
          <w:p>
            <w:pPr>
              <w:spacing w:line="32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单位地址</w:t>
            </w:r>
          </w:p>
        </w:tc>
        <w:tc>
          <w:tcPr>
            <w:tcW w:w="1455" w:type="dxa"/>
            <w:noWrap w:val="0"/>
            <w:vAlign w:val="center"/>
          </w:tcPr>
          <w:p>
            <w:pPr>
              <w:spacing w:line="32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抽检类型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pPr>
              <w:spacing w:line="32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1</w:t>
            </w:r>
          </w:p>
        </w:tc>
        <w:tc>
          <w:tcPr>
            <w:tcW w:w="393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美国伊莱特净水有限公司ELITE PURE WATER USA,INC</w:t>
            </w:r>
          </w:p>
        </w:tc>
        <w:tc>
          <w:tcPr>
            <w:tcW w:w="390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福建邦登环保科技有限公司</w:t>
            </w:r>
          </w:p>
        </w:tc>
        <w:tc>
          <w:tcPr>
            <w:tcW w:w="468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厦门火炬高新区创业园创业大厦536室</w:t>
            </w:r>
          </w:p>
        </w:tc>
        <w:tc>
          <w:tcPr>
            <w:tcW w:w="1455" w:type="dxa"/>
            <w:noWrap w:val="0"/>
            <w:vAlign w:val="center"/>
          </w:tcPr>
          <w:p>
            <w:pPr>
              <w:spacing w:line="32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水质处理器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pPr>
              <w:spacing w:line="32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2</w:t>
            </w:r>
          </w:p>
        </w:tc>
        <w:tc>
          <w:tcPr>
            <w:tcW w:w="393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百诺肯净水设备有限公司Paragon Water Systems,Ins</w:t>
            </w:r>
          </w:p>
        </w:tc>
        <w:tc>
          <w:tcPr>
            <w:tcW w:w="390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百诺肯净水设备（厦门）有限公司</w:t>
            </w:r>
          </w:p>
        </w:tc>
        <w:tc>
          <w:tcPr>
            <w:tcW w:w="468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厦门市现代物流园区长虹路33号跨境电商产业园西侧4层A1单元</w:t>
            </w:r>
          </w:p>
        </w:tc>
        <w:tc>
          <w:tcPr>
            <w:tcW w:w="1455" w:type="dxa"/>
            <w:noWrap w:val="0"/>
            <w:vAlign w:val="center"/>
          </w:tcPr>
          <w:p>
            <w:pPr>
              <w:spacing w:line="32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水质处理器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pPr>
              <w:spacing w:line="32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3</w:t>
            </w:r>
          </w:p>
        </w:tc>
        <w:tc>
          <w:tcPr>
            <w:tcW w:w="393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圆峰曙初株式会社</w:t>
            </w:r>
          </w:p>
        </w:tc>
        <w:tc>
          <w:tcPr>
            <w:tcW w:w="390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韩露珠（厦门）环保科技有限公司</w:t>
            </w:r>
          </w:p>
        </w:tc>
        <w:tc>
          <w:tcPr>
            <w:tcW w:w="468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厦门市海沧区中沧工业园坪埕中路19号</w:t>
            </w:r>
          </w:p>
        </w:tc>
        <w:tc>
          <w:tcPr>
            <w:tcW w:w="1455" w:type="dxa"/>
            <w:noWrap w:val="0"/>
            <w:vAlign w:val="center"/>
          </w:tcPr>
          <w:p>
            <w:pPr>
              <w:spacing w:line="32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水质处理器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pPr>
              <w:spacing w:line="32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4</w:t>
            </w:r>
          </w:p>
        </w:tc>
        <w:tc>
          <w:tcPr>
            <w:tcW w:w="393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SIA Handels GmbH</w:t>
            </w:r>
          </w:p>
        </w:tc>
        <w:tc>
          <w:tcPr>
            <w:tcW w:w="390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克里斯沃肯（厦门）科技有限公司</w:t>
            </w:r>
          </w:p>
        </w:tc>
        <w:tc>
          <w:tcPr>
            <w:tcW w:w="468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厦门市集美区宁海二里13号3701</w:t>
            </w:r>
          </w:p>
        </w:tc>
        <w:tc>
          <w:tcPr>
            <w:tcW w:w="1455" w:type="dxa"/>
            <w:noWrap w:val="0"/>
            <w:vAlign w:val="center"/>
          </w:tcPr>
          <w:p>
            <w:pPr>
              <w:spacing w:line="32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水质处理器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pPr>
              <w:spacing w:line="32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5</w:t>
            </w:r>
          </w:p>
        </w:tc>
        <w:tc>
          <w:tcPr>
            <w:tcW w:w="393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爱诗普霖纯水系统有限公司  ISPRING WATER YSTEMS,LLC</w:t>
            </w:r>
          </w:p>
        </w:tc>
        <w:tc>
          <w:tcPr>
            <w:tcW w:w="390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福州爱诗普霖水处理设备有限公司</w:t>
            </w:r>
          </w:p>
        </w:tc>
        <w:tc>
          <w:tcPr>
            <w:tcW w:w="4680" w:type="dxa"/>
            <w:noWrap w:val="0"/>
            <w:vAlign w:val="center"/>
          </w:tcPr>
          <w:p>
            <w:pPr>
              <w:widowControl/>
              <w:spacing w:line="320" w:lineRule="exact"/>
              <w:rPr>
                <w:rFonts w:hint="eastAsia" w:ascii="仿宋_GB2312" w:hAnsi="仿宋_GB2312" w:eastAsia="仿宋_GB2312" w:cs="仿宋_GB2312"/>
                <w:kern w:val="0"/>
                <w:sz w:val="21"/>
                <w:szCs w:val="21"/>
              </w:rPr>
            </w:pPr>
            <w:r>
              <w:rPr>
                <w:rStyle w:val="6"/>
                <w:rFonts w:hint="eastAsia" w:ascii="仿宋_GB2312" w:hAnsi="仿宋_GB2312" w:eastAsia="仿宋_GB2312" w:cs="仿宋_GB2312"/>
                <w:color w:val="auto"/>
                <w:kern w:val="0"/>
              </w:rPr>
              <w:t>福州市马尾区快安路</w:t>
            </w:r>
            <w:r>
              <w:rPr>
                <w:rStyle w:val="7"/>
                <w:rFonts w:hint="eastAsia" w:ascii="仿宋_GB2312" w:hAnsi="仿宋_GB2312" w:eastAsia="仿宋_GB2312" w:cs="仿宋_GB2312"/>
                <w:color w:val="auto"/>
                <w:kern w:val="0"/>
              </w:rPr>
              <w:t>8</w:t>
            </w:r>
            <w:r>
              <w:rPr>
                <w:rStyle w:val="6"/>
                <w:rFonts w:hint="eastAsia" w:ascii="仿宋_GB2312" w:hAnsi="仿宋_GB2312" w:eastAsia="仿宋_GB2312" w:cs="仿宋_GB2312"/>
                <w:color w:val="auto"/>
                <w:kern w:val="0"/>
              </w:rPr>
              <w:t>号</w:t>
            </w:r>
            <w:r>
              <w:rPr>
                <w:rStyle w:val="7"/>
                <w:rFonts w:hint="eastAsia" w:ascii="仿宋_GB2312" w:hAnsi="仿宋_GB2312" w:eastAsia="仿宋_GB2312" w:cs="仿宋_GB2312"/>
                <w:color w:val="auto"/>
                <w:kern w:val="0"/>
              </w:rPr>
              <w:t>5-4A</w:t>
            </w:r>
            <w:r>
              <w:rPr>
                <w:rStyle w:val="6"/>
                <w:rFonts w:hint="eastAsia" w:ascii="仿宋_GB2312" w:hAnsi="仿宋_GB2312" w:eastAsia="仿宋_GB2312" w:cs="仿宋_GB2312"/>
                <w:color w:val="auto"/>
                <w:kern w:val="0"/>
              </w:rPr>
              <w:t>房（自贸试验区内）</w:t>
            </w:r>
          </w:p>
        </w:tc>
        <w:tc>
          <w:tcPr>
            <w:tcW w:w="1455" w:type="dxa"/>
            <w:noWrap w:val="0"/>
            <w:vAlign w:val="center"/>
          </w:tcPr>
          <w:p>
            <w:pPr>
              <w:spacing w:line="32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水质处理器</w:t>
            </w:r>
          </w:p>
          <w:p>
            <w:pPr>
              <w:spacing w:line="32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水处理材料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pPr>
              <w:spacing w:line="32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6</w:t>
            </w:r>
          </w:p>
        </w:tc>
        <w:tc>
          <w:tcPr>
            <w:tcW w:w="393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先答实业有限公司（SHIAN DAR ENTERPRISE LTD）</w:t>
            </w:r>
          </w:p>
        </w:tc>
        <w:tc>
          <w:tcPr>
            <w:tcW w:w="390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厦门市先答新净安新材料科技有限公司</w:t>
            </w:r>
          </w:p>
        </w:tc>
        <w:tc>
          <w:tcPr>
            <w:tcW w:w="468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厦门市火炬高新区（翔安）产业区翔星路88号台湾科技企业育成中心E202F室</w:t>
            </w:r>
          </w:p>
        </w:tc>
        <w:tc>
          <w:tcPr>
            <w:tcW w:w="1455" w:type="dxa"/>
            <w:noWrap w:val="0"/>
            <w:vAlign w:val="center"/>
          </w:tcPr>
          <w:p>
            <w:pPr>
              <w:spacing w:line="32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水质处理器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pPr>
              <w:spacing w:line="32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7</w:t>
            </w:r>
          </w:p>
        </w:tc>
        <w:tc>
          <w:tcPr>
            <w:tcW w:w="393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台湾亨莱克环保实业有限公司(Taiwan HENGLAIKE Environmental Group)</w:t>
            </w:r>
          </w:p>
        </w:tc>
        <w:tc>
          <w:tcPr>
            <w:tcW w:w="390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亨莱克环保科技（厦门）有限公司</w:t>
            </w:r>
          </w:p>
        </w:tc>
        <w:tc>
          <w:tcPr>
            <w:tcW w:w="468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厦门市思明区湖滨东路319号C栋一层南1</w:t>
            </w:r>
          </w:p>
        </w:tc>
        <w:tc>
          <w:tcPr>
            <w:tcW w:w="1455" w:type="dxa"/>
            <w:noWrap w:val="0"/>
            <w:vAlign w:val="center"/>
          </w:tcPr>
          <w:p>
            <w:pPr>
              <w:spacing w:line="32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水处理材料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pPr>
              <w:spacing w:line="32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8</w:t>
            </w:r>
          </w:p>
        </w:tc>
        <w:tc>
          <w:tcPr>
            <w:tcW w:w="393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普力斯道责任有限公司Plastofer Ltd.</w:t>
            </w:r>
          </w:p>
        </w:tc>
        <w:tc>
          <w:tcPr>
            <w:tcW w:w="390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福建迪达新材料科技有限公司</w:t>
            </w:r>
          </w:p>
        </w:tc>
        <w:tc>
          <w:tcPr>
            <w:tcW w:w="468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福州市台江区鳌峰街道光明南路1号（原鳌峰路南侧）升龙大厦办公主楼14层12办公</w:t>
            </w:r>
          </w:p>
        </w:tc>
        <w:tc>
          <w:tcPr>
            <w:tcW w:w="1455" w:type="dxa"/>
            <w:noWrap w:val="0"/>
            <w:vAlign w:val="center"/>
          </w:tcPr>
          <w:p>
            <w:pPr>
              <w:spacing w:line="32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输配水设备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pPr>
              <w:spacing w:line="32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9</w:t>
            </w:r>
          </w:p>
        </w:tc>
        <w:tc>
          <w:tcPr>
            <w:tcW w:w="393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欧洲欧罗图比责任有限公司（EUROTUBI EUROPA SRL）</w:t>
            </w:r>
          </w:p>
        </w:tc>
        <w:tc>
          <w:tcPr>
            <w:tcW w:w="390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福建迪达新材料科技有限公司</w:t>
            </w:r>
          </w:p>
        </w:tc>
        <w:tc>
          <w:tcPr>
            <w:tcW w:w="468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福州市台江区鳌峰街道光明南路1号（原鳌峰路南侧）升龙大厦办公主楼14层12办公</w:t>
            </w:r>
          </w:p>
        </w:tc>
        <w:tc>
          <w:tcPr>
            <w:tcW w:w="1455" w:type="dxa"/>
            <w:noWrap w:val="0"/>
            <w:vAlign w:val="center"/>
          </w:tcPr>
          <w:p>
            <w:pPr>
              <w:spacing w:line="32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输配水设备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pPr>
              <w:spacing w:line="32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10</w:t>
            </w:r>
          </w:p>
        </w:tc>
        <w:tc>
          <w:tcPr>
            <w:tcW w:w="393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达兴国际有限公司</w:t>
            </w:r>
          </w:p>
        </w:tc>
        <w:tc>
          <w:tcPr>
            <w:tcW w:w="390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泉州莫格贸易有限公司</w:t>
            </w:r>
          </w:p>
        </w:tc>
        <w:tc>
          <w:tcPr>
            <w:tcW w:w="4680" w:type="dxa"/>
            <w:noWrap w:val="0"/>
            <w:vAlign w:val="center"/>
          </w:tcPr>
          <w:p>
            <w:pPr>
              <w:widowControl/>
              <w:spacing w:line="32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泉州市丰泽区泉秀街道宝洲路浦西万达广场商业综合体1号建筑A栋3903</w:t>
            </w:r>
          </w:p>
        </w:tc>
        <w:tc>
          <w:tcPr>
            <w:tcW w:w="1455" w:type="dxa"/>
            <w:noWrap w:val="0"/>
            <w:vAlign w:val="center"/>
          </w:tcPr>
          <w:p>
            <w:pPr>
              <w:spacing w:line="32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水质处理器</w:t>
            </w:r>
          </w:p>
        </w:tc>
      </w:tr>
    </w:tbl>
    <w:p>
      <w:pPr>
        <w:rPr>
          <w:rFonts w:hint="eastAsia" w:ascii="黑体" w:hAnsi="黑体" w:eastAsia="黑体" w:cs="黑体"/>
        </w:rPr>
      </w:pPr>
      <w:r>
        <w:rPr>
          <w:rFonts w:hint="default" w:ascii="Times New Roman" w:hAnsi="Times New Roman" w:cs="Times New Roman"/>
        </w:rPr>
        <w:br w:type="page"/>
      </w:r>
      <w:r>
        <w:rPr>
          <w:rFonts w:hint="eastAsia" w:ascii="黑体" w:hAnsi="黑体" w:eastAsia="黑体" w:cs="黑体"/>
        </w:rPr>
        <w:t>附表16</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sz w:val="44"/>
          <w:szCs w:val="44"/>
        </w:rPr>
        <w:t>2022年度福建省大型水质处理器生产企业抽查清单</w:t>
      </w:r>
    </w:p>
    <w:tbl>
      <w:tblPr>
        <w:tblStyle w:val="4"/>
        <w:tblW w:w="140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4560"/>
        <w:gridCol w:w="8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93"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序号</w:t>
            </w:r>
          </w:p>
        </w:tc>
        <w:tc>
          <w:tcPr>
            <w:tcW w:w="4560"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生产单位</w:t>
            </w:r>
          </w:p>
        </w:tc>
        <w:tc>
          <w:tcPr>
            <w:tcW w:w="8572"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实际生产单位地址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1</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中科洁力（福州）环保技术有限公司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福建省三明市明溪县十里埠工业园区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2</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导洁（福建）环保设备有限公司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福州市高新区南屿镇智慧大道6号慧博产业园7#楼1层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3</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福建泽信智联科技有限公司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福州市闽侯县铁岭工业区二期长龙西路8号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4</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福州福龙膜科技开发有限公司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福州市闽侯县南屿镇后山工业集中区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5</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厦门绿创科技有限公司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厦门市湖里区安岭路999号，1001号301室D区、E区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6</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优米耐（福建）智能科技有限公司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福建省龙岩市上杭县工业园区黄竹大路4号</w:t>
            </w:r>
          </w:p>
        </w:tc>
      </w:tr>
    </w:tbl>
    <w:p>
      <w:pPr>
        <w:rPr>
          <w:rFonts w:hint="default" w:ascii="Times New Roman" w:hAnsi="Times New Roman" w:cs="Times New Roman"/>
        </w:rPr>
      </w:pPr>
    </w:p>
    <w:p>
      <w:pPr>
        <w:rPr>
          <w:rFonts w:hint="default" w:ascii="Times New Roman" w:hAnsi="Times New Roman" w:cs="Times New Roman"/>
        </w:rPr>
      </w:pPr>
    </w:p>
    <w:p>
      <w:pPr>
        <w:widowControl/>
        <w:jc w:val="left"/>
        <w:rPr>
          <w:rFonts w:hint="default" w:ascii="Times New Roman" w:hAnsi="Times New Roman" w:cs="Times New Roman"/>
        </w:rPr>
      </w:pPr>
      <w:r>
        <w:rPr>
          <w:rFonts w:hint="default" w:ascii="Times New Roman" w:hAnsi="Times New Roman" w:cs="Times New Roman"/>
        </w:rPr>
        <w:br w:type="page"/>
      </w:r>
      <w:r>
        <w:rPr>
          <w:rFonts w:hint="eastAsia" w:ascii="黑体" w:hAnsi="黑体" w:eastAsia="黑体" w:cs="黑体"/>
        </w:rPr>
        <w:t>附表17</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sz w:val="44"/>
          <w:szCs w:val="44"/>
        </w:rPr>
        <w:t>2022年度福建省饮用水消毒设备生产企业抽查清单</w:t>
      </w:r>
    </w:p>
    <w:tbl>
      <w:tblPr>
        <w:tblStyle w:val="4"/>
        <w:tblW w:w="140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4560"/>
        <w:gridCol w:w="8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93"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序号</w:t>
            </w:r>
          </w:p>
        </w:tc>
        <w:tc>
          <w:tcPr>
            <w:tcW w:w="4560"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生产单位</w:t>
            </w:r>
          </w:p>
        </w:tc>
        <w:tc>
          <w:tcPr>
            <w:tcW w:w="8572"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实际生产单位地址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893" w:type="dxa"/>
            <w:noWrap w:val="0"/>
            <w:vAlign w:val="center"/>
          </w:tcPr>
          <w:p>
            <w:pPr>
              <w:spacing w:line="600" w:lineRule="exact"/>
              <w:jc w:val="center"/>
              <w:rPr>
                <w:rFonts w:hint="eastAsia"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1</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福建浩达智能科技股份有限公司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福建省福州市仓山区金山大道618号金山工业桔园洲园62#楼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2</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沃世达（厦门）水科技有限公司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厦门市海沧区新阳街道霞阳路2号2#厂房第六层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3</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福建新大陆环保科技有限公司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福州市马尾区儒江西路1号新大陆科技园（自贸试验区内）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4</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福建正康智能科技有限公司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福建省福州市闽侯县铁岭西路6号，实验车间四层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5</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福州益清源水处理设备有限公司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闽侯县荆溪镇光明村中截41-7号</w:t>
            </w:r>
          </w:p>
        </w:tc>
      </w:tr>
    </w:tbl>
    <w:p>
      <w:pPr>
        <w:jc w:val="left"/>
        <w:rPr>
          <w:rFonts w:hint="default" w:ascii="Times New Roman" w:hAnsi="Times New Roman" w:eastAsia="宋体" w:cs="Times New Roman"/>
          <w:b/>
          <w:bCs/>
          <w:sz w:val="30"/>
        </w:rPr>
      </w:pPr>
    </w:p>
    <w:p>
      <w:pPr>
        <w:jc w:val="left"/>
        <w:rPr>
          <w:rFonts w:hint="default" w:ascii="Times New Roman" w:hAnsi="Times New Roman" w:eastAsia="宋体" w:cs="Times New Roman"/>
          <w:b/>
          <w:bCs/>
          <w:sz w:val="30"/>
        </w:rPr>
      </w:pPr>
    </w:p>
    <w:p>
      <w:pPr>
        <w:jc w:val="left"/>
        <w:rPr>
          <w:rFonts w:hint="default" w:ascii="Times New Roman" w:hAnsi="Times New Roman" w:eastAsia="宋体" w:cs="Times New Roman"/>
          <w:b/>
          <w:bCs/>
          <w:sz w:val="30"/>
        </w:rPr>
      </w:pPr>
    </w:p>
    <w:p>
      <w:pPr>
        <w:jc w:val="left"/>
        <w:rPr>
          <w:rFonts w:hint="default" w:ascii="Times New Roman" w:hAnsi="Times New Roman" w:eastAsia="宋体" w:cs="Times New Roman"/>
          <w:b/>
          <w:bCs/>
          <w:sz w:val="30"/>
        </w:rPr>
      </w:pPr>
    </w:p>
    <w:p>
      <w:pPr>
        <w:rPr>
          <w:rFonts w:hint="eastAsia" w:ascii="黑体" w:hAnsi="黑体" w:eastAsia="黑体" w:cs="黑体"/>
        </w:rPr>
      </w:pPr>
      <w:r>
        <w:rPr>
          <w:rFonts w:hint="default" w:ascii="Times New Roman" w:hAnsi="Times New Roman" w:eastAsia="宋体" w:cs="Times New Roman"/>
          <w:b/>
          <w:bCs/>
          <w:sz w:val="30"/>
        </w:rPr>
        <w:br w:type="page"/>
      </w:r>
      <w:r>
        <w:rPr>
          <w:rFonts w:hint="eastAsia" w:ascii="黑体" w:hAnsi="黑体" w:eastAsia="黑体" w:cs="黑体"/>
        </w:rPr>
        <w:t>附表18</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sz w:val="44"/>
          <w:szCs w:val="44"/>
        </w:rPr>
        <w:t>2022年度福建省供水设备生产企业抽查清单</w:t>
      </w:r>
    </w:p>
    <w:tbl>
      <w:tblPr>
        <w:tblStyle w:val="4"/>
        <w:tblW w:w="140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4560"/>
        <w:gridCol w:w="8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93"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序号</w:t>
            </w:r>
          </w:p>
        </w:tc>
        <w:tc>
          <w:tcPr>
            <w:tcW w:w="4560"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生产单位</w:t>
            </w:r>
          </w:p>
        </w:tc>
        <w:tc>
          <w:tcPr>
            <w:tcW w:w="8572" w:type="dxa"/>
            <w:noWrap w:val="0"/>
            <w:vAlign w:val="center"/>
          </w:tcPr>
          <w:p>
            <w:pPr>
              <w:spacing w:line="600" w:lineRule="exact"/>
              <w:jc w:val="center"/>
              <w:rPr>
                <w:rFonts w:hint="eastAsia" w:ascii="黑体" w:hAnsi="黑体" w:eastAsia="黑体" w:cs="黑体"/>
                <w:b w:val="0"/>
                <w:bCs w:val="0"/>
                <w:kern w:val="0"/>
                <w:sz w:val="21"/>
                <w:szCs w:val="21"/>
              </w:rPr>
            </w:pPr>
            <w:r>
              <w:rPr>
                <w:rFonts w:hint="eastAsia" w:ascii="黑体" w:hAnsi="黑体" w:eastAsia="黑体" w:cs="黑体"/>
                <w:b w:val="0"/>
                <w:bCs w:val="0"/>
                <w:kern w:val="0"/>
                <w:sz w:val="21"/>
                <w:szCs w:val="21"/>
              </w:rPr>
              <w:t>实际生产单位地址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1</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福建亿兆自动化设备有限公司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福州市闽侯县竹岐乡榕西村榕山工业区亿兆工业园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2</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厦门逢兴智慧水务有限公司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厦门市同安区工业集中区建材园96栋202室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3</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福州百思得自动化技术有限公司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福州市鼓楼区原厝24号洪山粮库7号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4</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厦门海源泵业有限公司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厦门市同安区城东工业区榕溪路10号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5</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福建浩卓水务科技有限公司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福州市闽侯县上街镇马保村马保路32号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noWrap w:val="0"/>
            <w:vAlign w:val="center"/>
          </w:tcPr>
          <w:p>
            <w:pPr>
              <w:spacing w:line="600" w:lineRule="exact"/>
              <w:jc w:val="center"/>
              <w:rPr>
                <w:rFonts w:hint="eastAsia" w:ascii="仿宋_GB2312" w:hAnsi="仿宋_GB2312" w:eastAsia="仿宋_GB2312" w:cs="仿宋_GB2312"/>
                <w:b/>
                <w:bCs/>
                <w:kern w:val="0"/>
                <w:sz w:val="21"/>
                <w:szCs w:val="21"/>
                <w:lang w:val="en"/>
              </w:rPr>
            </w:pPr>
            <w:r>
              <w:rPr>
                <w:rFonts w:hint="eastAsia" w:ascii="仿宋_GB2312" w:hAnsi="仿宋_GB2312" w:eastAsia="仿宋_GB2312" w:cs="仿宋_GB2312"/>
                <w:b/>
                <w:bCs/>
                <w:kern w:val="0"/>
                <w:sz w:val="21"/>
                <w:szCs w:val="21"/>
                <w:lang w:val="en"/>
              </w:rPr>
              <w:t>6</w:t>
            </w:r>
          </w:p>
        </w:tc>
        <w:tc>
          <w:tcPr>
            <w:tcW w:w="4560"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厦门威思特水泵系统有限公司</w:t>
            </w:r>
          </w:p>
        </w:tc>
        <w:tc>
          <w:tcPr>
            <w:tcW w:w="8572" w:type="dxa"/>
            <w:noWrap w:val="0"/>
            <w:vAlign w:val="center"/>
          </w:tcPr>
          <w:p>
            <w:pPr>
              <w:widowControl/>
              <w:spacing w:line="600" w:lineRule="exac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厦门市海沧新阳工业区霞飞路89号厂房二之一</w:t>
            </w:r>
          </w:p>
        </w:tc>
      </w:tr>
    </w:tbl>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eastAsia="宋体" w:cs="Times New Roman"/>
          <w:b/>
          <w:bCs/>
          <w:sz w:val="30"/>
        </w:rPr>
        <w:br w:type="page"/>
      </w:r>
      <w:r>
        <w:rPr>
          <w:rFonts w:hint="eastAsia" w:ascii="黑体" w:hAnsi="黑体" w:eastAsia="黑体" w:cs="黑体"/>
        </w:rPr>
        <w:t>附表19</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sz w:val="44"/>
          <w:szCs w:val="44"/>
        </w:rPr>
        <w:t>福建省涉水产品生产企业抽查监督登记表</w:t>
      </w:r>
    </w:p>
    <w:tbl>
      <w:tblPr>
        <w:tblStyle w:val="4"/>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4"/>
        <w:gridCol w:w="2835"/>
        <w:gridCol w:w="2686"/>
        <w:gridCol w:w="3637"/>
        <w:gridCol w:w="2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noWrap w:val="0"/>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检查内容</w:t>
            </w:r>
          </w:p>
        </w:tc>
        <w:tc>
          <w:tcPr>
            <w:tcW w:w="9158" w:type="dxa"/>
            <w:gridSpan w:val="3"/>
            <w:noWrap w:val="0"/>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目前实际情况</w:t>
            </w:r>
          </w:p>
        </w:tc>
        <w:tc>
          <w:tcPr>
            <w:tcW w:w="2182" w:type="dxa"/>
            <w:noWrap w:val="0"/>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是否与批件相符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noWrap w:val="0"/>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生产企业名称</w:t>
            </w:r>
          </w:p>
        </w:tc>
        <w:tc>
          <w:tcPr>
            <w:tcW w:w="9158" w:type="dxa"/>
            <w:gridSpan w:val="3"/>
            <w:noWrap w:val="0"/>
            <w:vAlign w:val="center"/>
          </w:tcPr>
          <w:p>
            <w:pPr>
              <w:jc w:val="center"/>
              <w:rPr>
                <w:rFonts w:hint="eastAsia" w:ascii="仿宋_GB2312" w:hAnsi="仿宋_GB2312" w:eastAsia="仿宋_GB2312" w:cs="仿宋_GB2312"/>
                <w:kern w:val="0"/>
                <w:sz w:val="21"/>
                <w:szCs w:val="21"/>
              </w:rPr>
            </w:pPr>
          </w:p>
        </w:tc>
        <w:tc>
          <w:tcPr>
            <w:tcW w:w="2182" w:type="dxa"/>
            <w:noWrap w:val="0"/>
            <w:vAlign w:val="center"/>
          </w:tcPr>
          <w:p>
            <w:pPr>
              <w:jc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noWrap w:val="0"/>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生产企业注册地址</w:t>
            </w:r>
          </w:p>
        </w:tc>
        <w:tc>
          <w:tcPr>
            <w:tcW w:w="9158" w:type="dxa"/>
            <w:gridSpan w:val="3"/>
            <w:noWrap w:val="0"/>
            <w:vAlign w:val="center"/>
          </w:tcPr>
          <w:p>
            <w:pPr>
              <w:jc w:val="center"/>
              <w:rPr>
                <w:rFonts w:hint="eastAsia" w:ascii="仿宋_GB2312" w:hAnsi="仿宋_GB2312" w:eastAsia="仿宋_GB2312" w:cs="仿宋_GB2312"/>
                <w:kern w:val="0"/>
                <w:sz w:val="21"/>
                <w:szCs w:val="21"/>
              </w:rPr>
            </w:pPr>
          </w:p>
        </w:tc>
        <w:tc>
          <w:tcPr>
            <w:tcW w:w="2182" w:type="dxa"/>
            <w:noWrap w:val="0"/>
            <w:vAlign w:val="center"/>
          </w:tcPr>
          <w:p>
            <w:pPr>
              <w:jc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noWrap w:val="0"/>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实际生产地址</w:t>
            </w:r>
          </w:p>
        </w:tc>
        <w:tc>
          <w:tcPr>
            <w:tcW w:w="9158" w:type="dxa"/>
            <w:gridSpan w:val="3"/>
            <w:noWrap w:val="0"/>
            <w:vAlign w:val="center"/>
          </w:tcPr>
          <w:p>
            <w:pPr>
              <w:jc w:val="center"/>
              <w:rPr>
                <w:rFonts w:hint="eastAsia" w:ascii="仿宋_GB2312" w:hAnsi="仿宋_GB2312" w:eastAsia="仿宋_GB2312" w:cs="仿宋_GB2312"/>
                <w:kern w:val="0"/>
                <w:sz w:val="21"/>
                <w:szCs w:val="21"/>
              </w:rPr>
            </w:pPr>
          </w:p>
        </w:tc>
        <w:tc>
          <w:tcPr>
            <w:tcW w:w="2182" w:type="dxa"/>
            <w:noWrap w:val="0"/>
            <w:vAlign w:val="center"/>
          </w:tcPr>
          <w:p>
            <w:pPr>
              <w:jc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vMerge w:val="restart"/>
            <w:noWrap w:val="0"/>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生产产品项目</w:t>
            </w:r>
          </w:p>
        </w:tc>
        <w:tc>
          <w:tcPr>
            <w:tcW w:w="2835" w:type="dxa"/>
            <w:noWrap w:val="0"/>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反渗透净水设备</w:t>
            </w:r>
            <w:r>
              <w:rPr>
                <w:rFonts w:hint="eastAsia" w:ascii="仿宋_GB2312" w:hAnsi="仿宋_GB2312" w:eastAsia="仿宋_GB2312" w:cs="仿宋_GB2312"/>
                <w:kern w:val="0"/>
                <w:sz w:val="21"/>
                <w:szCs w:val="21"/>
              </w:rPr>
              <w:sym w:font="Wingdings" w:char="00A8"/>
            </w:r>
          </w:p>
        </w:tc>
        <w:tc>
          <w:tcPr>
            <w:tcW w:w="2686" w:type="dxa"/>
            <w:noWrap w:val="0"/>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超滤净水设备</w:t>
            </w:r>
            <w:r>
              <w:rPr>
                <w:rFonts w:hint="eastAsia" w:ascii="仿宋_GB2312" w:hAnsi="仿宋_GB2312" w:eastAsia="仿宋_GB2312" w:cs="仿宋_GB2312"/>
                <w:kern w:val="0"/>
                <w:sz w:val="21"/>
                <w:szCs w:val="21"/>
              </w:rPr>
              <w:sym w:font="Wingdings" w:char="00A8"/>
            </w:r>
          </w:p>
        </w:tc>
        <w:tc>
          <w:tcPr>
            <w:tcW w:w="3637" w:type="dxa"/>
            <w:noWrap w:val="0"/>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以地表水为水源的一体机</w:t>
            </w:r>
            <w:r>
              <w:rPr>
                <w:rFonts w:hint="eastAsia" w:ascii="仿宋_GB2312" w:hAnsi="仿宋_GB2312" w:eastAsia="仿宋_GB2312" w:cs="仿宋_GB2312"/>
                <w:kern w:val="0"/>
                <w:sz w:val="21"/>
                <w:szCs w:val="21"/>
              </w:rPr>
              <w:sym w:font="Wingdings" w:char="00A8"/>
            </w:r>
          </w:p>
        </w:tc>
        <w:tc>
          <w:tcPr>
            <w:tcW w:w="2182" w:type="dxa"/>
            <w:noWrap w:val="0"/>
            <w:vAlign w:val="center"/>
          </w:tcPr>
          <w:p>
            <w:pPr>
              <w:jc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vMerge w:val="continue"/>
            <w:noWrap w:val="0"/>
            <w:vAlign w:val="center"/>
          </w:tcPr>
          <w:p>
            <w:pPr>
              <w:jc w:val="center"/>
              <w:rPr>
                <w:rFonts w:hint="eastAsia" w:ascii="仿宋_GB2312" w:hAnsi="仿宋_GB2312" w:eastAsia="仿宋_GB2312" w:cs="仿宋_GB2312"/>
                <w:kern w:val="0"/>
                <w:sz w:val="21"/>
                <w:szCs w:val="21"/>
              </w:rPr>
            </w:pPr>
          </w:p>
        </w:tc>
        <w:tc>
          <w:tcPr>
            <w:tcW w:w="2835" w:type="dxa"/>
            <w:noWrap w:val="0"/>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饮用水消毒设备</w:t>
            </w:r>
            <w:r>
              <w:rPr>
                <w:rFonts w:hint="eastAsia" w:ascii="仿宋_GB2312" w:hAnsi="仿宋_GB2312" w:eastAsia="仿宋_GB2312" w:cs="仿宋_GB2312"/>
                <w:kern w:val="0"/>
                <w:sz w:val="21"/>
                <w:szCs w:val="21"/>
              </w:rPr>
              <w:sym w:font="Wingdings" w:char="00A8"/>
            </w:r>
          </w:p>
        </w:tc>
        <w:tc>
          <w:tcPr>
            <w:tcW w:w="2686" w:type="dxa"/>
            <w:noWrap w:val="0"/>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水箱</w:t>
            </w:r>
            <w:r>
              <w:rPr>
                <w:rFonts w:hint="eastAsia" w:ascii="仿宋_GB2312" w:hAnsi="仿宋_GB2312" w:eastAsia="仿宋_GB2312" w:cs="仿宋_GB2312"/>
                <w:kern w:val="0"/>
                <w:sz w:val="21"/>
                <w:szCs w:val="21"/>
              </w:rPr>
              <w:sym w:font="Wingdings" w:char="00A8"/>
            </w:r>
          </w:p>
        </w:tc>
        <w:tc>
          <w:tcPr>
            <w:tcW w:w="3637" w:type="dxa"/>
            <w:noWrap w:val="0"/>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供水设备</w:t>
            </w:r>
            <w:r>
              <w:rPr>
                <w:rFonts w:hint="eastAsia" w:ascii="仿宋_GB2312" w:hAnsi="仿宋_GB2312" w:eastAsia="仿宋_GB2312" w:cs="仿宋_GB2312"/>
                <w:kern w:val="0"/>
                <w:sz w:val="21"/>
                <w:szCs w:val="21"/>
              </w:rPr>
              <w:sym w:font="Wingdings" w:char="00A8"/>
            </w:r>
          </w:p>
        </w:tc>
        <w:tc>
          <w:tcPr>
            <w:tcW w:w="2182" w:type="dxa"/>
            <w:noWrap w:val="0"/>
            <w:vAlign w:val="center"/>
          </w:tcPr>
          <w:p>
            <w:pPr>
              <w:jc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noWrap w:val="0"/>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产品标签说明书</w:t>
            </w:r>
          </w:p>
        </w:tc>
        <w:tc>
          <w:tcPr>
            <w:tcW w:w="9158" w:type="dxa"/>
            <w:gridSpan w:val="3"/>
            <w:noWrap w:val="0"/>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是否符合《健康相关产品命名规定》有关要求</w:t>
            </w:r>
          </w:p>
        </w:tc>
        <w:tc>
          <w:tcPr>
            <w:tcW w:w="2182" w:type="dxa"/>
            <w:noWrap w:val="0"/>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是</w:t>
            </w:r>
            <w:r>
              <w:rPr>
                <w:rFonts w:hint="eastAsia" w:ascii="仿宋_GB2312" w:hAnsi="仿宋_GB2312" w:eastAsia="仿宋_GB2312" w:cs="仿宋_GB2312"/>
                <w:kern w:val="0"/>
                <w:sz w:val="21"/>
                <w:szCs w:val="21"/>
              </w:rPr>
              <w:sym w:font="Wingdings" w:char="00A8"/>
            </w:r>
            <w:r>
              <w:rPr>
                <w:rFonts w:hint="eastAsia" w:ascii="仿宋_GB2312" w:hAnsi="仿宋_GB2312" w:eastAsia="仿宋_GB2312" w:cs="仿宋_GB2312"/>
                <w:kern w:val="0"/>
                <w:sz w:val="21"/>
                <w:szCs w:val="21"/>
              </w:rPr>
              <w:t xml:space="preserve">  否</w:t>
            </w:r>
            <w:r>
              <w:rPr>
                <w:rFonts w:hint="eastAsia" w:ascii="仿宋_GB2312" w:hAnsi="仿宋_GB2312" w:eastAsia="仿宋_GB2312" w:cs="仿宋_GB2312"/>
                <w:kern w:val="0"/>
                <w:sz w:val="21"/>
                <w:szCs w:val="21"/>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noWrap w:val="0"/>
            <w:vAlign w:val="center"/>
          </w:tcPr>
          <w:p>
            <w:pPr>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备注</w:t>
            </w:r>
          </w:p>
        </w:tc>
        <w:tc>
          <w:tcPr>
            <w:tcW w:w="11340" w:type="dxa"/>
            <w:gridSpan w:val="4"/>
            <w:noWrap w:val="0"/>
            <w:vAlign w:val="center"/>
          </w:tcPr>
          <w:p>
            <w:pP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现场核实产品项目并在</w:t>
            </w:r>
            <w:r>
              <w:rPr>
                <w:rFonts w:hint="eastAsia" w:ascii="仿宋_GB2312" w:hAnsi="仿宋_GB2312" w:eastAsia="仿宋_GB2312" w:cs="仿宋_GB2312"/>
                <w:kern w:val="0"/>
                <w:sz w:val="21"/>
                <w:szCs w:val="21"/>
              </w:rPr>
              <w:sym w:font="Wingdings" w:char="00A8"/>
            </w:r>
            <w:r>
              <w:rPr>
                <w:rFonts w:hint="eastAsia" w:ascii="仿宋_GB2312" w:hAnsi="仿宋_GB2312" w:eastAsia="仿宋_GB2312" w:cs="仿宋_GB2312"/>
                <w:kern w:val="0"/>
                <w:sz w:val="21"/>
                <w:szCs w:val="21"/>
              </w:rPr>
              <w:t>打“√”。</w:t>
            </w:r>
          </w:p>
        </w:tc>
      </w:tr>
    </w:tbl>
    <w:p>
      <w:pPr>
        <w:jc w:val="left"/>
        <w:rPr>
          <w:rFonts w:hint="eastAsia" w:ascii="仿宋_GB2312" w:hAnsi="仿宋_GB2312" w:cs="仿宋_GB2312"/>
          <w:sz w:val="28"/>
          <w:szCs w:val="28"/>
        </w:rPr>
      </w:pPr>
    </w:p>
    <w:p>
      <w:pP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企业负责人（签字、盖公章）：                                                               监督员（签字）：</w:t>
      </w:r>
    </w:p>
    <w:p>
      <w:pPr>
        <w:ind w:firstLine="3150" w:firstLineChars="1500"/>
      </w:pPr>
      <w:r>
        <w:rPr>
          <w:rFonts w:hint="eastAsia" w:ascii="仿宋_GB2312" w:hAnsi="仿宋_GB2312" w:eastAsia="仿宋_GB2312" w:cs="仿宋_GB2312"/>
          <w:kern w:val="0"/>
          <w:sz w:val="21"/>
          <w:szCs w:val="21"/>
        </w:rPr>
        <w:t>年      月     日                                                               年      月     日</w:t>
      </w:r>
      <w:bookmarkStart w:id="0" w:name="_GoBack"/>
      <w:bookmarkEnd w:id="0"/>
    </w:p>
    <w:sectPr>
      <w:pgSz w:w="16838" w:h="11905" w:orient="landscape"/>
      <w:pgMar w:top="1134" w:right="1134" w:bottom="1134" w:left="1134" w:header="284" w:footer="851" w:gutter="0"/>
      <w:pgNumType w:fmt="decimal"/>
      <w:cols w:space="720" w:num="1"/>
      <w:docGrid w:type="linesAndChar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path/>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44EA07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rFonts w:eastAsia="宋体"/>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rFonts w:eastAsia="宋体"/>
      <w:sz w:val="18"/>
      <w:szCs w:val="18"/>
    </w:rPr>
  </w:style>
  <w:style w:type="character" w:customStyle="1" w:styleId="6">
    <w:name w:val="font11"/>
    <w:basedOn w:val="5"/>
    <w:qFormat/>
    <w:uiPriority w:val="0"/>
    <w:rPr>
      <w:rFonts w:ascii="仿宋_GB2312" w:eastAsia="仿宋_GB2312" w:cs="仿宋_GB2312"/>
      <w:color w:val="000000"/>
      <w:sz w:val="21"/>
      <w:szCs w:val="21"/>
      <w:u w:val="none"/>
    </w:rPr>
  </w:style>
  <w:style w:type="character" w:customStyle="1" w:styleId="7">
    <w:name w:val="font01"/>
    <w:basedOn w:val="5"/>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2022-07-21T02:12:57Z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09E3D77018304494AF961016FC735527</vt:lpwstr>
  </property>
</Properties>
</file>