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黑体" w:eastAsia="黑体" w:cs="黑体"/>
        </w:rPr>
      </w:pPr>
      <w:r>
        <w:rPr>
          <w:rFonts w:hint="eastAsia" w:ascii="黑体" w:hAnsi="黑体" w:eastAsia="黑体" w:cs="黑体"/>
        </w:rPr>
        <w:t>附件4</w:t>
      </w: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2022年医疗卫生国家随机监督抽查计划</w:t>
      </w:r>
    </w:p>
    <w:p>
      <w:pPr>
        <w:adjustRightInd w:val="0"/>
        <w:snapToGrid w:val="0"/>
        <w:spacing w:line="590" w:lineRule="exact"/>
        <w:rPr>
          <w:rFonts w:hint="default" w:ascii="仿宋_GB2312" w:hAnsi="仿宋_GB2312" w:cs="Times New Roman"/>
        </w:rPr>
      </w:pPr>
    </w:p>
    <w:p>
      <w:pPr>
        <w:adjustRightInd w:val="0"/>
        <w:snapToGrid w:val="0"/>
        <w:spacing w:line="590" w:lineRule="exact"/>
        <w:ind w:firstLine="640" w:firstLineChars="200"/>
        <w:rPr>
          <w:rFonts w:hint="default" w:ascii="仿宋_GB2312" w:hAnsi="仿宋_GB2312" w:eastAsia="黑体" w:cs="Times New Roman"/>
        </w:rPr>
      </w:pPr>
      <w:r>
        <w:rPr>
          <w:rFonts w:hint="default" w:ascii="仿宋_GB2312" w:hAnsi="仿宋_GB2312" w:eastAsia="黑体" w:cs="Times New Roman"/>
        </w:rPr>
        <w:t>一、监督检查对象</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抽查辖区医疗机构，采供血机构，放射诊疗、职业健康检查、职业病诊断机构及放射卫生技术服务机构，母婴保健、计划生育技术服务机构。抽取比例见附表。</w:t>
      </w:r>
    </w:p>
    <w:p>
      <w:pPr>
        <w:adjustRightInd w:val="0"/>
        <w:snapToGrid w:val="0"/>
        <w:spacing w:line="590" w:lineRule="exact"/>
        <w:ind w:firstLine="640" w:firstLineChars="200"/>
        <w:rPr>
          <w:rFonts w:hint="default" w:ascii="仿宋_GB2312" w:hAnsi="仿宋_GB2312" w:eastAsia="黑体" w:cs="Times New Roman"/>
        </w:rPr>
      </w:pPr>
      <w:r>
        <w:rPr>
          <w:rFonts w:hint="default" w:ascii="仿宋_GB2312" w:hAnsi="仿宋_GB2312" w:eastAsia="黑体" w:cs="Times New Roman"/>
        </w:rPr>
        <w:t>二、监督检查内容</w:t>
      </w:r>
    </w:p>
    <w:p>
      <w:pPr>
        <w:adjustRightInd w:val="0"/>
        <w:snapToGrid w:val="0"/>
        <w:spacing w:line="590" w:lineRule="exact"/>
        <w:ind w:firstLine="640" w:firstLineChars="200"/>
        <w:rPr>
          <w:rFonts w:hint="default" w:ascii="仿宋_GB2312" w:hAnsi="仿宋_GB2312" w:eastAsia="楷体_GB2312" w:cs="Times New Roman"/>
          <w:lang w:eastAsia="zh-CN"/>
        </w:rPr>
      </w:pPr>
      <w:r>
        <w:rPr>
          <w:rFonts w:hint="default" w:ascii="仿宋_GB2312" w:hAnsi="仿宋_GB2312" w:eastAsia="楷体_GB2312" w:cs="Times New Roman"/>
        </w:rPr>
        <w:t>（一）医疗机构监督</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检查医疗机构资质（《医疗机构执业许可证》或《诊所备案证书》、人员资格、诊疗活动、健康体检、医学检验）管理情况，医疗卫生人员管理情况，药品（麻醉药品、精神药品、抗菌药物）和医疗器械管理情况，医疗技术（医疗美容、临床基因扩增、干细胞临床研究、临床研究项目）管理情况，医疗文书（处方、病历、医学证明文件）管理情况，临床用血（用血来源、管理组织和制度，血液储存，应急用血采血）等。</w:t>
      </w:r>
    </w:p>
    <w:p>
      <w:pPr>
        <w:adjustRightInd w:val="0"/>
        <w:snapToGrid w:val="0"/>
        <w:spacing w:line="590" w:lineRule="exact"/>
        <w:ind w:firstLine="640" w:firstLineChars="200"/>
        <w:rPr>
          <w:rFonts w:hint="default" w:ascii="仿宋_GB2312" w:hAnsi="仿宋_GB2312" w:eastAsia="楷体_GB2312" w:cs="Times New Roman"/>
          <w:lang w:eastAsia="zh-CN"/>
        </w:rPr>
      </w:pPr>
      <w:r>
        <w:rPr>
          <w:rFonts w:hint="default" w:ascii="仿宋_GB2312" w:hAnsi="仿宋_GB2312" w:eastAsia="楷体_GB2312" w:cs="Times New Roman"/>
        </w:rPr>
        <w:t>（二）采供血机构监督</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1.一般血站（血液中心、中心血站、中心血库）、特殊血站（脐带血造血干细胞库）。检查资质情况、血源管理情况、血液检测情况、包装储存供应情况、</w:t>
      </w:r>
      <w:r>
        <w:rPr>
          <w:rFonts w:hint="default" w:ascii="仿宋_GB2312" w:hAnsi="仿宋_GB2312" w:eastAsia="仿宋_GB2312" w:cs="Times New Roman"/>
          <w:lang w:eastAsia="zh-CN"/>
        </w:rPr>
        <w:t>检查</w:t>
      </w:r>
      <w:r>
        <w:rPr>
          <w:rFonts w:hint="default" w:ascii="仿宋_GB2312" w:hAnsi="仿宋_GB2312" w:eastAsia="仿宋_GB2312" w:cs="Times New Roman"/>
        </w:rPr>
        <w:t>医疗废物处理情况等。</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2.单采血浆站。检查单采血浆站资质情况、供血浆者管理情况、检测与采集情况、血浆储存情况、医疗废物处理情况等。</w:t>
      </w:r>
    </w:p>
    <w:p>
      <w:pPr>
        <w:adjustRightInd w:val="0"/>
        <w:snapToGrid w:val="0"/>
        <w:spacing w:line="590" w:lineRule="exact"/>
        <w:ind w:firstLine="640" w:firstLineChars="200"/>
        <w:rPr>
          <w:rFonts w:hint="default" w:ascii="仿宋_GB2312" w:hAnsi="仿宋_GB2312" w:eastAsia="楷体_GB2312" w:cs="Times New Roman"/>
          <w:kern w:val="2"/>
          <w:lang w:eastAsia="zh-CN"/>
        </w:rPr>
      </w:pPr>
      <w:r>
        <w:rPr>
          <w:rFonts w:hint="default" w:ascii="仿宋_GB2312" w:hAnsi="仿宋_GB2312" w:eastAsia="楷体_GB2312" w:cs="Times New Roman"/>
        </w:rPr>
        <w:t>（三）放射诊疗机构监督</w:t>
      </w:r>
    </w:p>
    <w:p>
      <w:pPr>
        <w:widowControl w:val="0"/>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检查放射诊疗机构建设项目管理情况，放射诊疗场所管理及其防护措施情况，放射诊疗设备管理情况，放射工作人员管理情况，开展放射诊疗人员条件管理情况，对患者、受检者及其他非放射工作人员的保护情况，放射事件预防处置情况，职业病人管理情况，档案管理与体系建设情况，核医学诊疗管理情况，放射性同位素管理情况；放射治疗管理情况等。</w:t>
      </w:r>
    </w:p>
    <w:p>
      <w:pPr>
        <w:adjustRightInd w:val="0"/>
        <w:snapToGrid w:val="0"/>
        <w:spacing w:line="590" w:lineRule="exact"/>
        <w:ind w:firstLine="640" w:firstLineChars="200"/>
        <w:rPr>
          <w:rFonts w:hint="default" w:ascii="仿宋_GB2312" w:hAnsi="仿宋_GB2312" w:eastAsia="楷体_GB2312" w:cs="Times New Roman"/>
          <w:kern w:val="2"/>
          <w:lang w:eastAsia="zh-CN"/>
        </w:rPr>
      </w:pPr>
      <w:r>
        <w:rPr>
          <w:rFonts w:hint="default" w:ascii="仿宋_GB2312" w:hAnsi="仿宋_GB2312" w:eastAsia="楷体_GB2312" w:cs="Times New Roman"/>
        </w:rPr>
        <w:t>（四）职业健康检查、职业病诊断机构及放射卫生技术服务机构监督</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职业病诊断机构、职业健康检查机构及放射卫生技术服务机构出具的报告是否符合相关要求，技术人员是否满足工作要求，仪器设备场所是否满足工作要求，质量控制、程序是否符合相关要求，是否出具虚假证明文件，档案管理是否符合相关要求，管理制度是否符合相关要求，劳动者保护是否符合相关要求，职业健康检查结果、职业禁忌、疑似职业病、职业病的告知、通知、报告是否符合相关要求等</w:t>
      </w:r>
      <w:r>
        <w:rPr>
          <w:rFonts w:hint="default" w:ascii="仿宋_GB2312" w:hAnsi="仿宋_GB2312" w:eastAsia="仿宋_GB2312" w:cs="Times New Roman"/>
          <w:kern w:val="2"/>
        </w:rPr>
        <w:t>。</w:t>
      </w:r>
    </w:p>
    <w:p>
      <w:pPr>
        <w:adjustRightInd w:val="0"/>
        <w:snapToGrid w:val="0"/>
        <w:spacing w:line="590" w:lineRule="exact"/>
        <w:ind w:firstLine="640" w:firstLineChars="200"/>
        <w:rPr>
          <w:rFonts w:hint="default" w:ascii="仿宋_GB2312" w:hAnsi="仿宋_GB2312" w:eastAsia="楷体_GB2312" w:cs="Times New Roman"/>
          <w:lang w:eastAsia="zh-CN"/>
        </w:rPr>
      </w:pPr>
      <w:r>
        <w:rPr>
          <w:rFonts w:hint="default" w:ascii="仿宋_GB2312" w:hAnsi="仿宋_GB2312" w:eastAsia="楷体_GB2312" w:cs="Times New Roman"/>
        </w:rPr>
        <w:t>（</w:t>
      </w:r>
      <w:r>
        <w:rPr>
          <w:rFonts w:hint="default" w:ascii="仿宋_GB2312" w:hAnsi="仿宋_GB2312" w:eastAsia="楷体_GB2312" w:cs="Times New Roman"/>
          <w:lang w:eastAsia="zh-CN"/>
        </w:rPr>
        <w:t>五</w:t>
      </w:r>
      <w:r>
        <w:rPr>
          <w:rFonts w:hint="default" w:ascii="仿宋_GB2312" w:hAnsi="仿宋_GB2312" w:eastAsia="楷体_GB2312" w:cs="Times New Roman"/>
        </w:rPr>
        <w:t>）母婴保健、计划生育技术服务机构监督</w:t>
      </w:r>
    </w:p>
    <w:p>
      <w:pPr>
        <w:widowControl/>
        <w:spacing w:line="590" w:lineRule="atLeast"/>
        <w:ind w:firstLine="632"/>
        <w:rPr>
          <w:rFonts w:hint="default" w:ascii="仿宋_GB2312" w:hAnsi="仿宋_GB2312" w:eastAsia="仿宋_GB2312" w:cs="Times New Roman"/>
        </w:rPr>
      </w:pPr>
      <w:r>
        <w:rPr>
          <w:rFonts w:hint="default" w:ascii="仿宋_GB2312" w:hAnsi="仿宋_GB2312" w:eastAsia="仿宋_GB2312" w:cs="Times New Roman"/>
        </w:rPr>
        <w:t>检查开展母婴保健、计划生育、人类辅助生殖技术服务的机构执业资质和人员执业资格情况；机构和人员法律法规执行情况；机构制度建立情况等。产前筛查机构、产前诊断机构开展孕妇外周血胎儿游离DNA产前筛查与诊断技术工作情况。出生医学证明证件管理情况等。</w:t>
      </w:r>
    </w:p>
    <w:p>
      <w:pPr>
        <w:adjustRightInd w:val="0"/>
        <w:snapToGrid w:val="0"/>
        <w:spacing w:line="590" w:lineRule="exact"/>
        <w:ind w:firstLine="640" w:firstLineChars="200"/>
        <w:rPr>
          <w:rFonts w:hint="default" w:ascii="仿宋_GB2312" w:hAnsi="仿宋_GB2312" w:eastAsia="黑体" w:cs="Times New Roman"/>
        </w:rPr>
      </w:pPr>
      <w:r>
        <w:rPr>
          <w:rFonts w:hint="default" w:ascii="仿宋_GB2312" w:hAnsi="仿宋_GB2312" w:eastAsia="黑体" w:cs="Times New Roman"/>
        </w:rPr>
        <w:t>三、结果报送要求</w:t>
      </w: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各地要于2022年11月15日前完成医疗卫生国家监督抽检信息报送工作，汇总数据以信息报告系统填报数据为准。</w:t>
      </w:r>
    </w:p>
    <w:p>
      <w:pPr>
        <w:adjustRightInd w:val="0"/>
        <w:snapToGrid w:val="0"/>
        <w:spacing w:line="590" w:lineRule="exact"/>
        <w:ind w:firstLine="640" w:firstLineChars="200"/>
        <w:rPr>
          <w:rFonts w:hint="default" w:ascii="仿宋_GB2312" w:hAnsi="仿宋_GB2312" w:eastAsia="仿宋_GB2312" w:cs="Times New Roman"/>
        </w:rPr>
      </w:pPr>
    </w:p>
    <w:p>
      <w:pPr>
        <w:adjustRightInd w:val="0"/>
        <w:snapToGrid w:val="0"/>
        <w:spacing w:line="590" w:lineRule="exact"/>
        <w:ind w:firstLine="640" w:firstLineChars="200"/>
        <w:rPr>
          <w:rFonts w:hint="default" w:ascii="仿宋_GB2312" w:hAnsi="仿宋_GB2312" w:eastAsia="仿宋_GB2312" w:cs="Times New Roman"/>
        </w:rPr>
      </w:pPr>
      <w:r>
        <w:rPr>
          <w:rFonts w:hint="default" w:ascii="仿宋_GB2312" w:hAnsi="仿宋_GB2312" w:eastAsia="仿宋_GB2312" w:cs="Times New Roman"/>
        </w:rPr>
        <w:t>附表：1.2022年医疗机构国家随机监督抽查工作计划表</w:t>
      </w:r>
    </w:p>
    <w:p>
      <w:pPr>
        <w:adjustRightInd w:val="0"/>
        <w:snapToGrid w:val="0"/>
        <w:spacing w:line="590" w:lineRule="exact"/>
        <w:ind w:firstLine="1600" w:firstLineChars="500"/>
        <w:rPr>
          <w:rFonts w:hint="default" w:ascii="仿宋_GB2312" w:hAnsi="仿宋_GB2312" w:eastAsia="仿宋_GB2312" w:cs="Times New Roman"/>
        </w:rPr>
      </w:pPr>
      <w:r>
        <w:rPr>
          <w:rFonts w:hint="default" w:ascii="仿宋_GB2312" w:hAnsi="仿宋_GB2312" w:eastAsia="仿宋_GB2312" w:cs="Times New Roman"/>
        </w:rPr>
        <w:t>2.2022年医疗机构国家随机监督抽查汇总表</w:t>
      </w:r>
    </w:p>
    <w:p>
      <w:pPr>
        <w:adjustRightInd w:val="0"/>
        <w:snapToGrid w:val="0"/>
        <w:spacing w:line="590" w:lineRule="exact"/>
        <w:ind w:firstLine="1600" w:firstLineChars="500"/>
        <w:rPr>
          <w:rFonts w:hint="default" w:ascii="仿宋_GB2312" w:hAnsi="仿宋_GB2312" w:eastAsia="仿宋_GB2312" w:cs="Times New Roman"/>
        </w:rPr>
      </w:pPr>
      <w:r>
        <w:rPr>
          <w:rFonts w:hint="default" w:ascii="仿宋_GB2312" w:hAnsi="仿宋_GB2312" w:eastAsia="仿宋_GB2312" w:cs="Times New Roman"/>
        </w:rPr>
        <w:t>3.2022年采供血机构国家随机监督抽查工作计划表</w:t>
      </w:r>
    </w:p>
    <w:p>
      <w:pPr>
        <w:adjustRightInd w:val="0"/>
        <w:snapToGrid w:val="0"/>
        <w:spacing w:line="590" w:lineRule="exact"/>
        <w:ind w:firstLine="1600" w:firstLineChars="500"/>
        <w:rPr>
          <w:rFonts w:hint="default" w:ascii="仿宋_GB2312" w:hAnsi="仿宋_GB2312" w:eastAsia="仿宋_GB2312" w:cs="Times New Roman"/>
        </w:rPr>
      </w:pPr>
      <w:r>
        <w:rPr>
          <w:rFonts w:hint="default" w:ascii="仿宋_GB2312" w:hAnsi="仿宋_GB2312" w:eastAsia="仿宋_GB2312" w:cs="Times New Roman"/>
        </w:rPr>
        <w:t>4.2022年采供血机构国家随机监督抽查汇总表</w:t>
      </w:r>
    </w:p>
    <w:p>
      <w:pPr>
        <w:adjustRightInd w:val="0"/>
        <w:snapToGrid w:val="0"/>
        <w:spacing w:line="590" w:lineRule="exact"/>
        <w:ind w:left="1846" w:leftChars="500" w:hanging="246" w:hangingChars="77"/>
        <w:jc w:val="both"/>
        <w:rPr>
          <w:rFonts w:hint="default" w:ascii="仿宋_GB2312" w:hAnsi="仿宋_GB2312" w:eastAsia="仿宋_GB2312" w:cs="Times New Roman"/>
        </w:rPr>
      </w:pPr>
      <w:r>
        <w:rPr>
          <w:rFonts w:hint="default" w:ascii="仿宋_GB2312" w:hAnsi="仿宋_GB2312" w:eastAsia="仿宋_GB2312" w:cs="Times New Roman"/>
        </w:rPr>
        <w:t>5.202</w:t>
      </w:r>
      <w:r>
        <w:rPr>
          <w:rFonts w:hint="default" w:ascii="仿宋_GB2312" w:hAnsi="仿宋_GB2312" w:eastAsia="仿宋_GB2312" w:cs="Times New Roman"/>
          <w:lang w:val="en-US" w:eastAsia="zh-CN"/>
        </w:rPr>
        <w:t>2</w:t>
      </w:r>
      <w:r>
        <w:rPr>
          <w:rFonts w:hint="default" w:ascii="仿宋_GB2312" w:hAnsi="仿宋_GB2312" w:eastAsia="仿宋_GB2312" w:cs="Times New Roman"/>
        </w:rPr>
        <w:t>年放射诊疗、职业健康检查、职业病诊断机构及放射卫生技术服务机构国家监督抽查工作计划表</w:t>
      </w:r>
    </w:p>
    <w:p>
      <w:pPr>
        <w:adjustRightInd w:val="0"/>
        <w:snapToGrid w:val="0"/>
        <w:spacing w:line="590" w:lineRule="exact"/>
        <w:ind w:firstLine="1600" w:firstLineChars="500"/>
        <w:rPr>
          <w:rFonts w:hint="default" w:ascii="仿宋_GB2312" w:hAnsi="仿宋_GB2312" w:eastAsia="仿宋_GB2312" w:cs="Times New Roman"/>
        </w:rPr>
      </w:pPr>
      <w:r>
        <w:rPr>
          <w:rFonts w:hint="default" w:ascii="仿宋_GB2312" w:hAnsi="仿宋_GB2312" w:eastAsia="仿宋_GB2312" w:cs="Times New Roman"/>
        </w:rPr>
        <w:t>6.202</w:t>
      </w:r>
      <w:r>
        <w:rPr>
          <w:rFonts w:hint="default" w:ascii="仿宋_GB2312" w:hAnsi="仿宋_GB2312" w:eastAsia="仿宋_GB2312" w:cs="Times New Roman"/>
          <w:lang w:val="en-US" w:eastAsia="zh-CN"/>
        </w:rPr>
        <w:t>2</w:t>
      </w:r>
      <w:r>
        <w:rPr>
          <w:rFonts w:hint="default" w:ascii="仿宋_GB2312" w:hAnsi="仿宋_GB2312" w:eastAsia="仿宋_GB2312" w:cs="Times New Roman"/>
        </w:rPr>
        <w:t>年放射诊疗机构国家监督抽查汇总表</w:t>
      </w:r>
    </w:p>
    <w:p>
      <w:pPr>
        <w:adjustRightInd w:val="0"/>
        <w:snapToGrid w:val="0"/>
        <w:spacing w:line="590" w:lineRule="exact"/>
        <w:ind w:left="1920" w:leftChars="500" w:hanging="320" w:hangingChars="100"/>
        <w:rPr>
          <w:rFonts w:hint="default" w:ascii="仿宋_GB2312" w:hAnsi="仿宋_GB2312" w:eastAsia="仿宋_GB2312" w:cs="Times New Roman"/>
        </w:rPr>
      </w:pPr>
      <w:r>
        <w:rPr>
          <w:rFonts w:hint="default" w:ascii="仿宋_GB2312" w:hAnsi="仿宋_GB2312" w:eastAsia="仿宋_GB2312" w:cs="Times New Roman"/>
        </w:rPr>
        <w:t>7.202</w:t>
      </w:r>
      <w:r>
        <w:rPr>
          <w:rFonts w:hint="default" w:ascii="仿宋_GB2312" w:hAnsi="仿宋_GB2312" w:eastAsia="仿宋_GB2312" w:cs="Times New Roman"/>
          <w:lang w:val="en-US" w:eastAsia="zh-CN"/>
        </w:rPr>
        <w:t>2</w:t>
      </w:r>
      <w:r>
        <w:rPr>
          <w:rFonts w:hint="default" w:ascii="仿宋_GB2312" w:hAnsi="仿宋_GB2312" w:eastAsia="仿宋_GB2312" w:cs="Times New Roman"/>
        </w:rPr>
        <w:t>年职业健康检查机构、职业病诊断机构及放射卫生技术服务机构国家监督抽查汇总表</w:t>
      </w:r>
    </w:p>
    <w:p>
      <w:pPr>
        <w:adjustRightInd w:val="0"/>
        <w:snapToGrid w:val="0"/>
        <w:spacing w:line="590" w:lineRule="exact"/>
        <w:ind w:left="1846" w:leftChars="500" w:hanging="246" w:hangingChars="77"/>
        <w:rPr>
          <w:rFonts w:hint="default" w:ascii="仿宋_GB2312" w:hAnsi="仿宋_GB2312" w:eastAsia="仿宋_GB2312" w:cs="Times New Roman"/>
        </w:rPr>
      </w:pPr>
      <w:r>
        <w:rPr>
          <w:rFonts w:hint="default" w:ascii="仿宋_GB2312" w:hAnsi="仿宋_GB2312" w:eastAsia="仿宋_GB2312" w:cs="Times New Roman"/>
          <w:lang w:val="en-US" w:eastAsia="zh-CN"/>
        </w:rPr>
        <w:t>8</w:t>
      </w:r>
      <w:r>
        <w:rPr>
          <w:rFonts w:hint="default" w:ascii="仿宋_GB2312" w:hAnsi="仿宋_GB2312" w:eastAsia="仿宋_GB2312" w:cs="Times New Roman"/>
        </w:rPr>
        <w:t>.2022年母婴保健、计划生育技术服务机构国家随机监督抽查工作计划表</w:t>
      </w:r>
    </w:p>
    <w:p>
      <w:pPr>
        <w:adjustRightInd w:val="0"/>
        <w:snapToGrid w:val="0"/>
        <w:spacing w:line="590" w:lineRule="exact"/>
        <w:ind w:left="1846" w:leftChars="500" w:hanging="246" w:hangingChars="77"/>
        <w:rPr>
          <w:rFonts w:hint="default" w:ascii="仿宋_GB2312" w:hAnsi="仿宋_GB2312" w:eastAsia="仿宋_GB2312" w:cs="Times New Roman"/>
        </w:rPr>
      </w:pPr>
      <w:r>
        <w:rPr>
          <w:rFonts w:hint="default" w:ascii="仿宋_GB2312" w:hAnsi="仿宋_GB2312" w:eastAsia="仿宋_GB2312" w:cs="Times New Roman"/>
          <w:lang w:val="en-US" w:eastAsia="zh-CN"/>
        </w:rPr>
        <w:t>9</w:t>
      </w:r>
      <w:r>
        <w:rPr>
          <w:rFonts w:hint="default" w:ascii="仿宋_GB2312" w:hAnsi="仿宋_GB2312" w:eastAsia="仿宋_GB2312" w:cs="Times New Roman"/>
        </w:rPr>
        <w:t>.2022年母婴保健、计划生育技术服务机构国家随机监督抽查汇总表</w:t>
      </w:r>
    </w:p>
    <w:p>
      <w:pPr>
        <w:adjustRightInd w:val="0"/>
        <w:snapToGrid w:val="0"/>
        <w:spacing w:line="590" w:lineRule="exact"/>
        <w:ind w:firstLine="640" w:firstLineChars="200"/>
        <w:rPr>
          <w:rFonts w:hint="default" w:ascii="仿宋_GB2312" w:hAnsi="仿宋_GB2312" w:eastAsia="仿宋_GB2312" w:cs="Times New Roman"/>
        </w:rPr>
      </w:pPr>
    </w:p>
    <w:p>
      <w:pPr>
        <w:adjustRightInd w:val="0"/>
        <w:snapToGrid w:val="0"/>
        <w:spacing w:line="590" w:lineRule="exact"/>
        <w:ind w:firstLine="640" w:firstLineChars="200"/>
        <w:rPr>
          <w:rFonts w:hint="default" w:ascii="仿宋_GB2312" w:hAnsi="仿宋_GB2312" w:eastAsia="仿宋_GB2312" w:cs="Times New Roman"/>
        </w:rPr>
        <w:sectPr>
          <w:headerReference r:id="rId3" w:type="default"/>
          <w:footerReference r:id="rId5" w:type="default"/>
          <w:headerReference r:id="rId4" w:type="even"/>
          <w:footerReference r:id="rId6" w:type="even"/>
          <w:pgSz w:w="11906" w:h="16838"/>
          <w:pgMar w:top="1701" w:right="1361" w:bottom="1474" w:left="1474" w:header="851" w:footer="1418" w:gutter="0"/>
          <w:lnNumType w:countBy="0" w:distance="360"/>
          <w:pgNumType w:fmt="decimal" w:start="57"/>
          <w:cols w:space="720" w:num="1"/>
          <w:docGrid w:type="linesAndChars" w:linePitch="312"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附表1</w:t>
      </w:r>
    </w:p>
    <w:p>
      <w:pPr>
        <w:adjustRightInd w:val="0"/>
        <w:snapToGrid w:val="0"/>
        <w:rPr>
          <w:rFonts w:hint="default" w:ascii="仿宋_GB2312" w:hAnsi="仿宋_GB2312" w:cs="Times New Roman"/>
        </w:rPr>
      </w:pP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2022年医疗机构国家随机监督抽查工作计划表</w:t>
      </w:r>
    </w:p>
    <w:p>
      <w:pPr>
        <w:adjustRightInd w:val="0"/>
        <w:snapToGrid w:val="0"/>
        <w:rPr>
          <w:rFonts w:hint="default" w:ascii="仿宋_GB2312" w:hAnsi="仿宋_GB2312" w:cs="Times New Roma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2719"/>
        <w:gridCol w:w="1418"/>
        <w:gridCol w:w="7796"/>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序号</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监督检查对象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抽查比例</w:t>
            </w:r>
          </w:p>
        </w:tc>
        <w:tc>
          <w:tcPr>
            <w:tcW w:w="77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检查内容</w:t>
            </w:r>
          </w:p>
        </w:tc>
        <w:tc>
          <w:tcPr>
            <w:tcW w:w="18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1</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医院（含中医院）</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6％</w:t>
            </w:r>
          </w:p>
        </w:tc>
        <w:tc>
          <w:tcPr>
            <w:tcW w:w="779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r>
              <w:rPr>
                <w:rFonts w:hint="default" w:ascii="仿宋_GB2312" w:hAnsi="仿宋_GB2312" w:cs="Times New Roman"/>
                <w:sz w:val="24"/>
              </w:rPr>
              <w:t>1.医疗机构资质（取得《医疗机构执业许可证》或备案情况、人员资格、诊疗活动、健康体检、医学检验）管理情况；</w:t>
            </w:r>
          </w:p>
          <w:p>
            <w:pPr>
              <w:adjustRightInd w:val="0"/>
              <w:snapToGrid w:val="0"/>
              <w:rPr>
                <w:rFonts w:hint="default" w:ascii="仿宋_GB2312" w:hAnsi="仿宋_GB2312" w:cs="Times New Roman"/>
                <w:sz w:val="24"/>
              </w:rPr>
            </w:pPr>
            <w:r>
              <w:rPr>
                <w:rFonts w:hint="default" w:ascii="仿宋_GB2312" w:hAnsi="仿宋_GB2312" w:cs="Times New Roman"/>
                <w:sz w:val="24"/>
              </w:rPr>
              <w:t>2.医疗卫生人员管理情况；</w:t>
            </w:r>
          </w:p>
          <w:p>
            <w:pPr>
              <w:adjustRightInd w:val="0"/>
              <w:snapToGrid w:val="0"/>
              <w:rPr>
                <w:rFonts w:hint="default" w:ascii="仿宋_GB2312" w:hAnsi="仿宋_GB2312" w:cs="Times New Roman"/>
                <w:sz w:val="24"/>
              </w:rPr>
            </w:pPr>
            <w:r>
              <w:rPr>
                <w:rFonts w:hint="default" w:ascii="仿宋_GB2312" w:hAnsi="仿宋_GB2312" w:cs="Times New Roman"/>
                <w:sz w:val="24"/>
              </w:rPr>
              <w:t>3.药品和医疗器械（麻醉药品、精神药品、抗菌药物）和医疗器械管理情况；</w:t>
            </w:r>
          </w:p>
          <w:p>
            <w:pPr>
              <w:adjustRightInd w:val="0"/>
              <w:snapToGrid w:val="0"/>
              <w:rPr>
                <w:rFonts w:hint="default" w:ascii="仿宋_GB2312" w:hAnsi="仿宋_GB2312" w:cs="Times New Roman"/>
                <w:sz w:val="24"/>
              </w:rPr>
            </w:pPr>
            <w:r>
              <w:rPr>
                <w:rFonts w:hint="default" w:ascii="仿宋_GB2312" w:hAnsi="仿宋_GB2312" w:cs="Times New Roman"/>
                <w:sz w:val="24"/>
              </w:rPr>
              <w:t>4.医疗技术（医疗美容、临床基因扩增、干细胞临床研究、临床研究项目）管理情况；</w:t>
            </w:r>
          </w:p>
          <w:p>
            <w:pPr>
              <w:adjustRightInd w:val="0"/>
              <w:snapToGrid w:val="0"/>
              <w:rPr>
                <w:rFonts w:hint="default" w:ascii="仿宋_GB2312" w:hAnsi="仿宋_GB2312" w:cs="Times New Roman"/>
                <w:sz w:val="24"/>
              </w:rPr>
            </w:pPr>
            <w:r>
              <w:rPr>
                <w:rFonts w:hint="default" w:ascii="仿宋_GB2312" w:hAnsi="仿宋_GB2312" w:cs="Times New Roman"/>
                <w:sz w:val="24"/>
              </w:rPr>
              <w:t>5.医疗文书（处方、病历、医学证明文件等）管理情况；</w:t>
            </w:r>
          </w:p>
          <w:p>
            <w:pPr>
              <w:adjustRightInd w:val="0"/>
              <w:snapToGrid w:val="0"/>
              <w:rPr>
                <w:rFonts w:hint="default" w:ascii="仿宋_GB2312" w:hAnsi="仿宋_GB2312" w:cs="Times New Roman"/>
                <w:sz w:val="24"/>
              </w:rPr>
            </w:pPr>
            <w:r>
              <w:rPr>
                <w:rFonts w:hint="default" w:ascii="仿宋_GB2312" w:hAnsi="仿宋_GB2312" w:cs="Times New Roman"/>
                <w:sz w:val="24"/>
              </w:rPr>
              <w:t>6.临床用血（用血来源、管理组织和制度，血液储存，应急用血采血）管理情况。</w:t>
            </w:r>
          </w:p>
        </w:tc>
        <w:tc>
          <w:tcPr>
            <w:tcW w:w="189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r>
              <w:rPr>
                <w:rFonts w:hint="default" w:ascii="仿宋_GB2312" w:hAnsi="仿宋_GB2312" w:cs="Times New Roman"/>
                <w:sz w:val="24"/>
              </w:rPr>
              <w:t>根据各医疗机构业务开展情况，检查内容可合理缺项。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2</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社区卫生服务机构</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2％</w:t>
            </w:r>
          </w:p>
        </w:tc>
        <w:tc>
          <w:tcPr>
            <w:tcW w:w="779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8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3</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卫生院</w:t>
            </w:r>
          </w:p>
        </w:tc>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779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8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4</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村卫生室（所）</w:t>
            </w:r>
          </w:p>
        </w:tc>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779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8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5</w:t>
            </w: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诊  所</w:t>
            </w:r>
          </w:p>
        </w:tc>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779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8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8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27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其他医疗机构</w:t>
            </w:r>
          </w:p>
        </w:tc>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779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8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bl>
    <w:p>
      <w:pPr>
        <w:rPr>
          <w:rFonts w:hint="default" w:ascii="仿宋_GB2312" w:hAnsi="仿宋_GB2312" w:cs="Times New Roman"/>
          <w:color w:val="FF0000"/>
        </w:rPr>
      </w:pPr>
    </w:p>
    <w:p>
      <w:pPr>
        <w:rPr>
          <w:rFonts w:hint="default" w:ascii="仿宋_GB2312" w:hAnsi="仿宋_GB2312" w:cs="Times New Roman"/>
          <w:color w:val="FF0000"/>
        </w:rPr>
      </w:pPr>
    </w:p>
    <w:p>
      <w:pPr>
        <w:rPr>
          <w:rFonts w:hint="default" w:ascii="仿宋_GB2312" w:hAnsi="仿宋_GB2312" w:cs="Times New Roman"/>
          <w:color w:val="FF0000"/>
        </w:rPr>
        <w:sectPr>
          <w:pgSz w:w="16838" w:h="11905" w:orient="landscape"/>
          <w:pgMar w:top="1134" w:right="1134" w:bottom="1134" w:left="1134" w:header="851" w:footer="851" w:gutter="0"/>
          <w:pgNumType w:fmt="decimal"/>
          <w:cols w:space="720" w:num="1"/>
          <w:docGrid w:type="lines" w:linePitch="439"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附表2</w:t>
      </w: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2022年医疗机构国家随机监督抽查汇总表</w:t>
      </w:r>
    </w:p>
    <w:tbl>
      <w:tblPr>
        <w:tblStyle w:val="5"/>
        <w:tblpPr w:leftFromText="180" w:rightFromText="180" w:vertAnchor="text" w:horzAnchor="page" w:tblpXSpec="center" w:tblpY="16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88"/>
        <w:gridCol w:w="289"/>
        <w:gridCol w:w="359"/>
        <w:gridCol w:w="665"/>
        <w:gridCol w:w="565"/>
        <w:gridCol w:w="409"/>
        <w:gridCol w:w="356"/>
        <w:gridCol w:w="351"/>
        <w:gridCol w:w="595"/>
        <w:gridCol w:w="413"/>
        <w:gridCol w:w="443"/>
        <w:gridCol w:w="366"/>
        <w:gridCol w:w="316"/>
        <w:gridCol w:w="707"/>
        <w:gridCol w:w="504"/>
        <w:gridCol w:w="564"/>
        <w:gridCol w:w="411"/>
        <w:gridCol w:w="428"/>
        <w:gridCol w:w="354"/>
        <w:gridCol w:w="430"/>
        <w:gridCol w:w="430"/>
        <w:gridCol w:w="431"/>
        <w:gridCol w:w="430"/>
        <w:gridCol w:w="429"/>
        <w:gridCol w:w="431"/>
        <w:gridCol w:w="429"/>
        <w:gridCol w:w="430"/>
        <w:gridCol w:w="430"/>
        <w:gridCol w:w="342"/>
        <w:gridCol w:w="321"/>
        <w:gridCol w:w="290"/>
        <w:gridCol w:w="357"/>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323" w:hanging="323" w:hangingChars="202"/>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单位</w:t>
            </w:r>
          </w:p>
          <w:p>
            <w:pPr>
              <w:adjustRightInd w:val="0"/>
              <w:snapToGrid w:val="0"/>
              <w:ind w:left="323" w:hanging="323" w:hangingChars="202"/>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类别</w:t>
            </w:r>
          </w:p>
        </w:tc>
        <w:tc>
          <w:tcPr>
            <w:tcW w:w="288"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辖区内单位总数</w:t>
            </w:r>
          </w:p>
        </w:tc>
        <w:tc>
          <w:tcPr>
            <w:tcW w:w="289"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检查单位数</w:t>
            </w:r>
          </w:p>
        </w:tc>
        <w:tc>
          <w:tcPr>
            <w:tcW w:w="12018" w:type="dxa"/>
            <w:gridSpan w:val="27"/>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不合格情况</w:t>
            </w:r>
          </w:p>
        </w:tc>
        <w:tc>
          <w:tcPr>
            <w:tcW w:w="1258"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p>
        </w:tc>
        <w:tc>
          <w:tcPr>
            <w:tcW w:w="28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p>
        </w:tc>
        <w:tc>
          <w:tcPr>
            <w:tcW w:w="28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p>
        </w:tc>
        <w:tc>
          <w:tcPr>
            <w:tcW w:w="1998"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医疗机构资质管理</w:t>
            </w:r>
          </w:p>
        </w:tc>
        <w:tc>
          <w:tcPr>
            <w:tcW w:w="2840"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医疗卫生人员管理</w:t>
            </w:r>
          </w:p>
        </w:tc>
        <w:tc>
          <w:tcPr>
            <w:tcW w:w="177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药品和医疗器械管理</w:t>
            </w:r>
          </w:p>
        </w:tc>
        <w:tc>
          <w:tcPr>
            <w:tcW w:w="2484"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医疗技术管理</w:t>
            </w:r>
          </w:p>
        </w:tc>
        <w:tc>
          <w:tcPr>
            <w:tcW w:w="1290"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医疗文书管理</w:t>
            </w:r>
          </w:p>
        </w:tc>
        <w:tc>
          <w:tcPr>
            <w:tcW w:w="1631"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临床用血管理</w:t>
            </w:r>
          </w:p>
        </w:tc>
        <w:tc>
          <w:tcPr>
            <w:tcW w:w="32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查处案件数</w:t>
            </w:r>
          </w:p>
        </w:tc>
        <w:tc>
          <w:tcPr>
            <w:tcW w:w="29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罚没款金额（万元）</w:t>
            </w:r>
          </w:p>
        </w:tc>
        <w:tc>
          <w:tcPr>
            <w:tcW w:w="35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吊销《医疗机构执业许可证》单位数</w:t>
            </w:r>
          </w:p>
        </w:tc>
        <w:tc>
          <w:tcPr>
            <w:tcW w:w="29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吊销诊疗科目单位数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88"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8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执业许可证管理不符合要求单位数</w:t>
            </w: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人员资格管理（未使用非卫生技术人员）不符合要求单位数</w:t>
            </w: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医疗机构诊疗活动管理不符合要求单位数</w:t>
            </w: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健康体检管理不符合要求单位数</w:t>
            </w: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医师管理不符合要求单位数</w:t>
            </w: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外国医师管理不符合要求单位数</w:t>
            </w: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香港、澳门特别行政区医师管理不符合要求单位数</w:t>
            </w: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台湾医师管理不符合要求单位数</w:t>
            </w: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乡村医生管理不符合要求单位数</w:t>
            </w: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护士管理不符合要求单位数</w:t>
            </w: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医技人员管理不符合要求单位数</w:t>
            </w: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麻醉药品和精神药品管理不符合要求单位数</w:t>
            </w: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抗菌药物管理不符合要求单位数</w:t>
            </w: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医疗器械管理不符合要求单位数</w:t>
            </w: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禁止临床应用技术管理不符合要求单位数</w:t>
            </w: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限制临床应用技术管理不符合要求单位数</w:t>
            </w: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医疗美容管理不符合要求单位数</w:t>
            </w: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临床基因扩增管理不符合要求单位数</w:t>
            </w: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干细胞临床研究管理不符合要求单位数</w:t>
            </w: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临床研究管理不符合要求单位数</w:t>
            </w: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处方管理不符合要求单位数</w:t>
            </w: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病历管理不符合要求单位数</w:t>
            </w: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医学证明文件管理不符合要求单位数</w:t>
            </w: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用血来源管理不符合要求单位数</w:t>
            </w: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血液储存管理不符合要求的单位数</w:t>
            </w: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用血管理组织和制度不符合要求单位数</w:t>
            </w: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r>
              <w:rPr>
                <w:rFonts w:hint="default" w:ascii="仿宋_GB2312" w:hAnsi="仿宋_GB2312" w:eastAsia="黑体" w:cs="Times New Roman"/>
                <w:sz w:val="16"/>
                <w:szCs w:val="16"/>
              </w:rPr>
              <w:t>应急用血采血管理不符合要求单位数</w:t>
            </w:r>
          </w:p>
        </w:tc>
        <w:tc>
          <w:tcPr>
            <w:tcW w:w="321"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16"/>
                <w:szCs w:val="16"/>
              </w:rPr>
            </w:pPr>
          </w:p>
        </w:tc>
        <w:tc>
          <w:tcPr>
            <w:tcW w:w="2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9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医院（含中医院）</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社区卫生服务机构</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卫生院</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村卫生室（所）</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诊  所</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其他医疗机构</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16"/>
                <w:szCs w:val="16"/>
              </w:rPr>
            </w:pPr>
            <w:r>
              <w:rPr>
                <w:rFonts w:hint="default" w:ascii="仿宋_GB2312" w:hAnsi="仿宋_GB2312" w:cs="Times New Roman"/>
                <w:sz w:val="16"/>
                <w:szCs w:val="16"/>
              </w:rPr>
              <w:t>合  计</w:t>
            </w:r>
          </w:p>
        </w:tc>
        <w:tc>
          <w:tcPr>
            <w:tcW w:w="2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4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3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c>
          <w:tcPr>
            <w:tcW w:w="2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16"/>
                <w:szCs w:val="16"/>
              </w:rPr>
            </w:pPr>
          </w:p>
        </w:tc>
      </w:tr>
    </w:tbl>
    <w:p>
      <w:pPr>
        <w:rPr>
          <w:rFonts w:hint="default" w:ascii="仿宋_GB2312" w:hAnsi="仿宋_GB2312" w:eastAsia="黑体" w:cs="Times New Roman"/>
        </w:rPr>
        <w:sectPr>
          <w:pgSz w:w="16838" w:h="11905" w:orient="landscape"/>
          <w:pgMar w:top="1134" w:right="1134" w:bottom="1134" w:left="1134" w:header="851" w:footer="851" w:gutter="0"/>
          <w:pgNumType w:fmt="decimal"/>
          <w:cols w:space="720" w:num="1"/>
          <w:docGrid w:type="linesAndChars" w:linePitch="439"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附表3</w:t>
      </w:r>
    </w:p>
    <w:p>
      <w:pPr>
        <w:adjustRightInd w:val="0"/>
        <w:snapToGrid w:val="0"/>
        <w:rPr>
          <w:rFonts w:hint="default" w:ascii="仿宋_GB2312" w:hAnsi="仿宋_GB2312" w:cs="Times New Roman"/>
        </w:rPr>
      </w:pP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2022年采供血机构国家随机监督抽查工作计划表</w:t>
      </w:r>
    </w:p>
    <w:p>
      <w:pPr>
        <w:adjustRightInd w:val="0"/>
        <w:snapToGrid w:val="0"/>
        <w:rPr>
          <w:rFonts w:hint="default" w:ascii="仿宋_GB2312" w:hAnsi="仿宋_GB2312" w:cs="Times New Roma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86"/>
        <w:gridCol w:w="1556"/>
        <w:gridCol w:w="7788"/>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序号</w:t>
            </w:r>
          </w:p>
        </w:tc>
        <w:tc>
          <w:tcPr>
            <w:tcW w:w="2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监督检查对象</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抽查比例</w:t>
            </w:r>
          </w:p>
        </w:tc>
        <w:tc>
          <w:tcPr>
            <w:tcW w:w="77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检查内容</w:t>
            </w:r>
          </w:p>
        </w:tc>
        <w:tc>
          <w:tcPr>
            <w:tcW w:w="18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1</w:t>
            </w:r>
          </w:p>
        </w:tc>
        <w:tc>
          <w:tcPr>
            <w:tcW w:w="2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一般血站</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50％</w:t>
            </w:r>
          </w:p>
        </w:tc>
        <w:tc>
          <w:tcPr>
            <w:tcW w:w="7788"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r>
              <w:rPr>
                <w:rFonts w:hint="default" w:ascii="仿宋_GB2312" w:hAnsi="仿宋_GB2312" w:cs="Times New Roman"/>
                <w:sz w:val="24"/>
              </w:rPr>
              <w:t>1.资质管理：按照许可范围开展工作；从业人员取得相关岗位执业资格或者执业注册而从事血液安全工作；使用符合国家规定的耗材；</w:t>
            </w:r>
          </w:p>
          <w:p>
            <w:pPr>
              <w:adjustRightInd w:val="0"/>
              <w:snapToGrid w:val="0"/>
              <w:rPr>
                <w:rFonts w:hint="default" w:ascii="仿宋_GB2312" w:hAnsi="仿宋_GB2312" w:cs="Times New Roman"/>
                <w:sz w:val="24"/>
              </w:rPr>
            </w:pPr>
            <w:r>
              <w:rPr>
                <w:rFonts w:hint="default" w:ascii="仿宋_GB2312" w:hAnsi="仿宋_GB2312" w:cs="Times New Roman"/>
                <w:sz w:val="24"/>
              </w:rPr>
              <w:t>2.血源管理：按规定对献血者、供血浆者进行身份核实、健康征询和体检；按要求检测新浆员和间隔180天的浆员的血浆；未超量、频繁采集血液（浆）；未采集冒名顶替者、健康检查不合格者血液（血浆）；</w:t>
            </w:r>
          </w:p>
          <w:p>
            <w:pPr>
              <w:adjustRightInd w:val="0"/>
              <w:snapToGrid w:val="0"/>
              <w:rPr>
                <w:rFonts w:hint="default" w:ascii="仿宋_GB2312" w:hAnsi="仿宋_GB2312" w:cs="Times New Roman"/>
                <w:sz w:val="24"/>
              </w:rPr>
            </w:pPr>
            <w:r>
              <w:rPr>
                <w:rFonts w:hint="default" w:ascii="仿宋_GB2312" w:hAnsi="仿宋_GB2312" w:cs="Times New Roman"/>
                <w:sz w:val="24"/>
              </w:rPr>
              <w:t>3.血液检测：血液（浆）检测项目齐全；按规定保存血液标本；按规定保存工作记录；对检测不合格或者报废的血液（浆），按有关规定处理；</w:t>
            </w:r>
          </w:p>
          <w:p>
            <w:pPr>
              <w:adjustRightInd w:val="0"/>
              <w:snapToGrid w:val="0"/>
              <w:rPr>
                <w:rFonts w:hint="default" w:ascii="仿宋_GB2312" w:hAnsi="仿宋_GB2312" w:cs="Times New Roman"/>
                <w:sz w:val="24"/>
              </w:rPr>
            </w:pPr>
            <w:r>
              <w:rPr>
                <w:rFonts w:hint="default" w:ascii="仿宋_GB2312" w:hAnsi="仿宋_GB2312" w:cs="Times New Roman"/>
                <w:sz w:val="24"/>
              </w:rPr>
              <w:t>4.包装储存运输：包装、储存、运输符合国家规定的卫生标准和要求；</w:t>
            </w:r>
          </w:p>
          <w:p>
            <w:pPr>
              <w:adjustRightInd w:val="0"/>
              <w:snapToGrid w:val="0"/>
              <w:rPr>
                <w:rFonts w:hint="default" w:ascii="仿宋_GB2312" w:hAnsi="仿宋_GB2312" w:cs="Times New Roman"/>
                <w:sz w:val="24"/>
              </w:rPr>
            </w:pPr>
            <w:r>
              <w:rPr>
                <w:rFonts w:hint="default" w:ascii="仿宋_GB2312" w:hAnsi="仿宋_GB2312" w:cs="Times New Roman"/>
                <w:sz w:val="24"/>
              </w:rPr>
              <w:t>5.其它：未非法采集、供应、倒卖血液、血浆。</w:t>
            </w:r>
          </w:p>
        </w:tc>
        <w:tc>
          <w:tcPr>
            <w:tcW w:w="186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r>
              <w:rPr>
                <w:rFonts w:hint="default" w:ascii="仿宋_GB2312" w:hAnsi="仿宋_GB2312" w:cs="Times New Roman"/>
                <w:sz w:val="24"/>
              </w:rPr>
              <w:t>根据各机构业务开展情况，检查内容可合理缺项。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2</w:t>
            </w:r>
          </w:p>
        </w:tc>
        <w:tc>
          <w:tcPr>
            <w:tcW w:w="2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特殊血站</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100％</w:t>
            </w:r>
          </w:p>
        </w:tc>
        <w:tc>
          <w:tcPr>
            <w:tcW w:w="7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仿宋_GB2312" w:hAnsi="仿宋_GB2312" w:cs="Times New Roman"/>
                <w:sz w:val="24"/>
              </w:rPr>
            </w:pPr>
          </w:p>
        </w:tc>
        <w:tc>
          <w:tcPr>
            <w:tcW w:w="186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3</w:t>
            </w:r>
          </w:p>
        </w:tc>
        <w:tc>
          <w:tcPr>
            <w:tcW w:w="2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单采血浆站</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50％</w:t>
            </w:r>
          </w:p>
        </w:tc>
        <w:tc>
          <w:tcPr>
            <w:tcW w:w="77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仿宋_GB2312" w:hAnsi="仿宋_GB2312" w:cs="Times New Roman"/>
                <w:sz w:val="24"/>
              </w:rPr>
            </w:pPr>
          </w:p>
        </w:tc>
        <w:tc>
          <w:tcPr>
            <w:tcW w:w="186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r>
    </w:tbl>
    <w:p>
      <w:pPr>
        <w:adjustRightInd w:val="0"/>
        <w:snapToGrid w:val="0"/>
        <w:spacing w:line="590" w:lineRule="exact"/>
        <w:rPr>
          <w:rFonts w:hint="default" w:ascii="仿宋_GB2312" w:hAnsi="仿宋_GB2312" w:cs="Times New Roman"/>
        </w:rPr>
      </w:pPr>
    </w:p>
    <w:p>
      <w:pPr>
        <w:rPr>
          <w:rFonts w:hint="default" w:ascii="仿宋_GB2312" w:hAnsi="仿宋_GB2312" w:cs="Times New Roman"/>
        </w:rPr>
        <w:sectPr>
          <w:pgSz w:w="16838" w:h="11905" w:orient="landscape"/>
          <w:pgMar w:top="1134" w:right="1134" w:bottom="1134" w:left="1134" w:header="851" w:footer="851" w:gutter="0"/>
          <w:pgNumType w:fmt="decimal"/>
          <w:cols w:space="720" w:num="1"/>
          <w:docGrid w:type="lines" w:linePitch="439" w:charSpace="0"/>
        </w:sectPr>
      </w:pPr>
    </w:p>
    <w:p>
      <w:pPr>
        <w:adjustRightInd w:val="0"/>
        <w:snapToGrid w:val="0"/>
        <w:spacing w:line="590" w:lineRule="exact"/>
        <w:ind w:leftChars="0" w:firstLine="0" w:firstLineChars="0"/>
        <w:rPr>
          <w:rFonts w:hint="eastAsia" w:ascii="黑体" w:hAnsi="黑体" w:eastAsia="黑体" w:cs="黑体"/>
        </w:rPr>
      </w:pPr>
      <w:r>
        <w:rPr>
          <w:rFonts w:hint="eastAsia" w:ascii="黑体" w:hAnsi="黑体" w:eastAsia="黑体" w:cs="黑体"/>
        </w:rPr>
        <w:t>附表4</w:t>
      </w: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2022年采供血机构国家随机监督抽查汇总表</w:t>
      </w:r>
    </w:p>
    <w:tbl>
      <w:tblPr>
        <w:tblStyle w:val="5"/>
        <w:tblW w:w="0" w:type="auto"/>
        <w:tblInd w:w="-2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538"/>
        <w:gridCol w:w="510"/>
        <w:gridCol w:w="633"/>
        <w:gridCol w:w="892"/>
        <w:gridCol w:w="647"/>
        <w:gridCol w:w="1077"/>
        <w:gridCol w:w="883"/>
        <w:gridCol w:w="1113"/>
        <w:gridCol w:w="996"/>
        <w:gridCol w:w="1099"/>
        <w:gridCol w:w="633"/>
        <w:gridCol w:w="633"/>
        <w:gridCol w:w="1383"/>
        <w:gridCol w:w="1023"/>
        <w:gridCol w:w="914"/>
        <w:gridCol w:w="510"/>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04"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单位类别</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辖区内单位总数</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检查单位数</w:t>
            </w:r>
          </w:p>
        </w:tc>
        <w:tc>
          <w:tcPr>
            <w:tcW w:w="0" w:type="auto"/>
            <w:gridSpan w:val="1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不合格情况</w:t>
            </w:r>
          </w:p>
        </w:tc>
        <w:tc>
          <w:tcPr>
            <w:tcW w:w="0" w:type="auto"/>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0" w:type="auto"/>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资质管理</w:t>
            </w:r>
          </w:p>
        </w:tc>
        <w:tc>
          <w:tcPr>
            <w:tcW w:w="0" w:type="auto"/>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血源管理</w:t>
            </w:r>
          </w:p>
        </w:tc>
        <w:tc>
          <w:tcPr>
            <w:tcW w:w="0" w:type="auto"/>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血液检测</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eastAsia="黑体" w:cs="Times New Roman"/>
                <w:sz w:val="24"/>
              </w:rPr>
            </w:pPr>
            <w:r>
              <w:rPr>
                <w:rFonts w:hint="default" w:ascii="仿宋_GB2312" w:hAnsi="仿宋_GB2312" w:eastAsia="黑体" w:cs="Times New Roman"/>
                <w:sz w:val="24"/>
              </w:rPr>
              <w:t>包装储存运输</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其他</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案件查处数</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未按照许可范围开展工作单位数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从业人员未取得相关岗位执业资格或者执业注册而从事血液安全工作单位数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使用不符合国家规定的耗材单位数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未按规定对献血者、供血浆者进行身份核实、健康征询和体检单位数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未按要求检测新浆员和间隔180天的浆员的血浆单位数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超量、频繁采集血液（浆）的单位数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采集冒名顶替者、健康检查不合格者血液(血浆)单位数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血液（浆）检测项目不齐全单位数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未按规定保存血液标本的单位数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未按规定保存工作记录的单位数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对检测不合格或者报废的血液（浆），未按有关规定处理单位数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包装、储存、运输不符合国家规定的卫生标准和要求单位数</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default" w:ascii="仿宋_GB2312" w:hAnsi="仿宋_GB2312" w:eastAsia="黑体" w:cs="Times New Roman"/>
                <w:sz w:val="24"/>
              </w:rPr>
            </w:pPr>
            <w:r>
              <w:rPr>
                <w:rFonts w:hint="default" w:ascii="仿宋_GB2312" w:hAnsi="仿宋_GB2312" w:eastAsia="黑体" w:cs="Times New Roman"/>
                <w:sz w:val="24"/>
              </w:rPr>
              <w:t>非法采集、供应、倒卖血液、血浆单位数</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一般血站</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r>
              <w:rPr>
                <w:rFonts w:hint="default" w:ascii="仿宋_GB2312" w:hAnsi="仿宋_GB2312" w:cs="Times New Roman"/>
                <w:sz w:val="24"/>
              </w:rPr>
              <w:t>特殊血站</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r>
              <w:rPr>
                <w:rFonts w:hint="default" w:ascii="仿宋_GB2312" w:hAnsi="仿宋_GB2312" w:cs="Times New Roman"/>
                <w:color w:val="C00000"/>
                <w:sz w:val="24"/>
              </w:rPr>
              <w:t>－</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color w:val="C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单采血浆站</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合  计</w:t>
            </w: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bl>
    <w:p>
      <w:pPr>
        <w:rPr>
          <w:rFonts w:hint="default" w:ascii="仿宋_GB2312" w:hAnsi="仿宋_GB2312" w:eastAsia="黑体" w:cs="Times New Roman"/>
        </w:rPr>
        <w:sectPr>
          <w:pgSz w:w="16838" w:h="11905" w:orient="landscape"/>
          <w:pgMar w:top="1134" w:right="1134" w:bottom="1134" w:left="1134" w:header="851" w:footer="851" w:gutter="0"/>
          <w:pgNumType w:fmt="decimal"/>
          <w:cols w:space="720" w:num="1"/>
          <w:docGrid w:type="linesAndChars" w:linePitch="439" w:charSpace="0"/>
        </w:sectPr>
      </w:pPr>
    </w:p>
    <w:p>
      <w:pPr>
        <w:widowControl/>
        <w:adjustRightInd w:val="0"/>
        <w:snapToGrid w:val="0"/>
        <w:spacing w:beforeLines="0" w:afterLines="0" w:line="590" w:lineRule="exact"/>
        <w:jc w:val="left"/>
        <w:rPr>
          <w:rFonts w:hint="eastAsia" w:ascii="黑体" w:hAnsi="黑体" w:eastAsia="黑体" w:cs="黑体"/>
          <w:sz w:val="32"/>
        </w:rPr>
      </w:pPr>
      <w:r>
        <w:rPr>
          <w:rFonts w:hint="eastAsia" w:ascii="黑体" w:hAnsi="黑体" w:eastAsia="黑体" w:cs="黑体"/>
          <w:color w:val="auto"/>
          <w:sz w:val="32"/>
        </w:rPr>
        <w:t>附表5</w:t>
      </w:r>
    </w:p>
    <w:p>
      <w:pPr>
        <w:widowControl/>
        <w:adjustRightInd w:val="0"/>
        <w:snapToGrid w:val="0"/>
        <w:spacing w:beforeLines="0" w:afterLines="0" w:line="590" w:lineRule="exact"/>
        <w:jc w:val="left"/>
        <w:rPr>
          <w:rFonts w:hint="eastAsia" w:ascii="黑体" w:hAnsi="黑体" w:eastAsia="黑体" w:cs="黑体"/>
          <w:color w:val="auto"/>
          <w:sz w:val="32"/>
        </w:rPr>
      </w:pPr>
    </w:p>
    <w:p>
      <w:pPr>
        <w:adjustRightInd w:val="0"/>
        <w:snapToGrid w:val="0"/>
        <w:spacing w:line="240" w:lineRule="auto"/>
        <w:jc w:val="center"/>
        <w:rPr>
          <w:rFonts w:hint="eastAsia" w:ascii="方正小标宋简体" w:hAnsi="方正小标宋简体" w:eastAsia="方正小标宋简体" w:cs="方正小标宋简体"/>
          <w:b w:val="0"/>
          <w:spacing w:val="0"/>
          <w:sz w:val="40"/>
          <w:szCs w:val="36"/>
        </w:rPr>
      </w:pPr>
      <w:r>
        <w:rPr>
          <w:rFonts w:hint="eastAsia" w:ascii="方正小标宋简体" w:hAnsi="方正小标宋简体" w:eastAsia="方正小标宋简体" w:cs="方正小标宋简体"/>
          <w:b w:val="0"/>
          <w:spacing w:val="0"/>
          <w:sz w:val="40"/>
          <w:szCs w:val="36"/>
        </w:rPr>
        <w:t>202</w:t>
      </w:r>
      <w:r>
        <w:rPr>
          <w:rFonts w:hint="eastAsia" w:ascii="方正小标宋简体" w:hAnsi="方正小标宋简体" w:eastAsia="方正小标宋简体" w:cs="方正小标宋简体"/>
          <w:b w:val="0"/>
          <w:spacing w:val="0"/>
          <w:sz w:val="40"/>
          <w:szCs w:val="36"/>
          <w:lang w:val="en-US" w:eastAsia="zh-CN"/>
        </w:rPr>
        <w:t>2</w:t>
      </w:r>
      <w:r>
        <w:rPr>
          <w:rFonts w:hint="eastAsia" w:ascii="方正小标宋简体" w:hAnsi="方正小标宋简体" w:eastAsia="方正小标宋简体" w:cs="方正小标宋简体"/>
          <w:b w:val="0"/>
          <w:spacing w:val="0"/>
          <w:sz w:val="40"/>
          <w:szCs w:val="36"/>
        </w:rPr>
        <w:t>年放射诊疗、职业健康检查、职业病诊断机构和放射卫生技术服务机构</w:t>
      </w:r>
    </w:p>
    <w:p>
      <w:pPr>
        <w:adjustRightInd w:val="0"/>
        <w:snapToGrid w:val="0"/>
        <w:spacing w:line="240" w:lineRule="auto"/>
        <w:jc w:val="center"/>
        <w:rPr>
          <w:rFonts w:hint="eastAsia" w:ascii="方正小标宋简体" w:hAnsi="方正小标宋简体" w:eastAsia="方正小标宋简体" w:cs="方正小标宋简体"/>
          <w:b w:val="0"/>
          <w:color w:val="auto"/>
          <w:spacing w:val="0"/>
          <w:sz w:val="40"/>
          <w:szCs w:val="36"/>
        </w:rPr>
      </w:pPr>
      <w:r>
        <w:rPr>
          <w:rFonts w:hint="eastAsia" w:ascii="方正小标宋简体" w:hAnsi="方正小标宋简体" w:eastAsia="方正小标宋简体" w:cs="方正小标宋简体"/>
          <w:b w:val="0"/>
          <w:spacing w:val="0"/>
          <w:sz w:val="40"/>
          <w:szCs w:val="36"/>
        </w:rPr>
        <w:t>国家监督抽查工作计划表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158"/>
        <w:gridCol w:w="960"/>
        <w:gridCol w:w="10013"/>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序号</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监督检查对象</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 xml:space="preserve">抽检 </w:t>
            </w:r>
          </w:p>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比例</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检查内容</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黑体" w:hAnsi="黑体" w:eastAsia="黑体" w:cs="黑体"/>
                <w:color w:val="auto"/>
                <w:sz w:val="21"/>
              </w:rPr>
            </w:pPr>
            <w:r>
              <w:rPr>
                <w:rFonts w:hint="eastAsia" w:ascii="黑体" w:hAnsi="黑体" w:eastAsia="黑体" w:cs="黑体"/>
                <w:color w:val="auto"/>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放射诊疗机构</w:t>
            </w:r>
          </w:p>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(含中医医疗机构)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10%</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建设项目管理情况；2.放射诊疗场所管理及其防护措施情况；3.放射诊疗设备管理情况；4.放射工作人员管理情况；5.开展放射诊疗人员条件管理情况；6.对患者、受检者及其他非放射工作人员的保护情况；7.放射事件预防处置情况；8.职业病人管理情况；9.档案管理与体系建设情况；10.核医学诊疗管理情况；11.放射性同位素管理情况；12.放射治疗管理情况。</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仿宋_GB2312" w:hAnsi="仿宋_GB2312" w:eastAsia="仿宋_GB2312" w:cs="仿宋_GB2312"/>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2</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职业健康检查机构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15%</w:t>
            </w:r>
          </w:p>
        </w:tc>
        <w:tc>
          <w:tcPr>
            <w:tcW w:w="1001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职业健康检查机构、职业病诊断机构是否在备案的范围内开展工作；2.出具的报告是否符合相关要求；3.技术人员是否满足工作要求；4.仪器设备场所是否满足工作要求；5.质量控制、程序是否符合相关要求；6.档案管理是否符合相关要求；7.管理制度是否符合相关要求；8.劳动者保护是否符合相关要求；9.职业健康检查结果、职业禁忌、疑似职业病、职业病的告知、通知、报告是否符合相关要求。</w:t>
            </w:r>
          </w:p>
        </w:tc>
        <w:tc>
          <w:tcPr>
            <w:tcW w:w="8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仿宋_GB2312" w:hAnsi="仿宋_GB2312" w:eastAsia="仿宋_GB2312" w:cs="仿宋_GB2312"/>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3</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职业病诊断机构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10%</w:t>
            </w:r>
          </w:p>
        </w:tc>
        <w:tc>
          <w:tcPr>
            <w:tcW w:w="1001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p>
        </w:tc>
        <w:tc>
          <w:tcPr>
            <w:tcW w:w="8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4</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放射卫生技术</w:t>
            </w:r>
          </w:p>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服务机构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50%</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_GB2312" w:hAnsi="仿宋_GB2312" w:eastAsia="仿宋_GB2312" w:cs="仿宋_GB2312"/>
                <w:color w:val="auto"/>
                <w:sz w:val="21"/>
              </w:rPr>
            </w:pPr>
            <w:r>
              <w:rPr>
                <w:rFonts w:hint="eastAsia" w:ascii="仿宋_GB2312" w:hAnsi="仿宋_GB2312" w:eastAsia="仿宋_GB2312" w:cs="仿宋_GB2312"/>
                <w:color w:val="auto"/>
                <w:sz w:val="21"/>
              </w:rPr>
              <w:t>1.放射卫生技术服务机构是否持有效资质（批准）证书；2.是否在批准的资质范围内开展工作；3.出具的报告是否符合相关要求；4.人员、仪器设备、场所是否满足工作要求；5.是否存在出具虚假文件情况。</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仿宋_GB2312" w:hAnsi="仿宋_GB2312" w:eastAsia="仿宋_GB2312" w:cs="仿宋_GB2312"/>
                <w:color w:val="auto"/>
                <w:sz w:val="21"/>
              </w:rPr>
            </w:pPr>
          </w:p>
        </w:tc>
      </w:tr>
    </w:tbl>
    <w:p>
      <w:pPr>
        <w:widowControl w:val="0"/>
        <w:adjustRightInd w:val="0"/>
        <w:snapToGrid w:val="0"/>
        <w:spacing w:line="590" w:lineRule="exact"/>
        <w:jc w:val="both"/>
        <w:rPr>
          <w:rFonts w:hint="default" w:ascii="仿宋_GB2312" w:hAnsi="仿宋_GB2312" w:eastAsia="黑体" w:cs="Times New Roman"/>
        </w:rPr>
      </w:pPr>
    </w:p>
    <w:p>
      <w:pPr>
        <w:widowControl w:val="0"/>
        <w:adjustRightInd w:val="0"/>
        <w:snapToGrid w:val="0"/>
        <w:spacing w:line="590" w:lineRule="exact"/>
        <w:jc w:val="both"/>
        <w:rPr>
          <w:rFonts w:hint="default" w:ascii="仿宋_GB2312" w:hAnsi="仿宋_GB2312" w:eastAsia="黑体" w:cs="Times New Roman"/>
        </w:rPr>
      </w:pPr>
    </w:p>
    <w:p>
      <w:pPr>
        <w:widowControl/>
        <w:adjustRightInd w:val="0"/>
        <w:snapToGrid w:val="0"/>
        <w:spacing w:line="590" w:lineRule="exact"/>
        <w:jc w:val="left"/>
        <w:rPr>
          <w:rFonts w:hint="eastAsia" w:ascii="黑体" w:hAnsi="黑体" w:eastAsia="黑体" w:cs="黑体"/>
          <w:lang w:eastAsia="zh-CN"/>
        </w:rPr>
      </w:pPr>
      <w:r>
        <w:rPr>
          <w:rFonts w:hint="eastAsia" w:ascii="黑体" w:hAnsi="黑体" w:eastAsia="黑体" w:cs="黑体"/>
        </w:rPr>
        <w:t>附表</w:t>
      </w:r>
      <w:r>
        <w:rPr>
          <w:rFonts w:hint="eastAsia" w:ascii="黑体" w:hAnsi="黑体" w:eastAsia="黑体" w:cs="黑体"/>
          <w:lang w:val="en-US" w:eastAsia="zh-CN"/>
        </w:rPr>
        <w:t>6</w:t>
      </w:r>
    </w:p>
    <w:p>
      <w:pPr>
        <w:widowControl w:val="0"/>
        <w:adjustRightInd w:val="0"/>
        <w:snapToGrid w:val="0"/>
        <w:spacing w:line="240" w:lineRule="auto"/>
        <w:jc w:val="both"/>
        <w:rPr>
          <w:rFonts w:hint="default" w:ascii="仿宋_GB2312" w:hAnsi="仿宋_GB2312" w:eastAsia="仿宋_GB2312" w:cs="Times New Roman"/>
        </w:rPr>
      </w:pP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b w:val="0"/>
          <w:sz w:val="40"/>
          <w:szCs w:val="36"/>
        </w:rPr>
        <w:t>202</w:t>
      </w:r>
      <w:r>
        <w:rPr>
          <w:rFonts w:hint="eastAsia" w:ascii="方正小标宋简体" w:hAnsi="方正小标宋简体" w:eastAsia="方正小标宋简体" w:cs="方正小标宋简体"/>
          <w:b w:val="0"/>
          <w:sz w:val="40"/>
          <w:szCs w:val="36"/>
          <w:lang w:val="en-US" w:eastAsia="zh-CN"/>
        </w:rPr>
        <w:t>2</w:t>
      </w:r>
      <w:r>
        <w:rPr>
          <w:rFonts w:hint="eastAsia" w:ascii="方正小标宋简体" w:hAnsi="方正小标宋简体" w:eastAsia="方正小标宋简体" w:cs="方正小标宋简体"/>
          <w:b w:val="0"/>
          <w:sz w:val="40"/>
          <w:szCs w:val="36"/>
        </w:rPr>
        <w:t>年放射诊疗机构国家监督抽查汇总表</w:t>
      </w:r>
    </w:p>
    <w:p>
      <w:pPr>
        <w:adjustRightInd w:val="0"/>
        <w:snapToGrid w:val="0"/>
        <w:jc w:val="both"/>
        <w:rPr>
          <w:rFonts w:hint="default" w:ascii="仿宋_GB2312" w:hAnsi="仿宋_GB2312" w:cs="Times New Roman"/>
          <w:b w:val="0"/>
          <w:sz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816"/>
        <w:gridCol w:w="773"/>
        <w:gridCol w:w="795"/>
        <w:gridCol w:w="993"/>
        <w:gridCol w:w="1053"/>
        <w:gridCol w:w="795"/>
        <w:gridCol w:w="1082"/>
        <w:gridCol w:w="1080"/>
        <w:gridCol w:w="840"/>
        <w:gridCol w:w="915"/>
        <w:gridCol w:w="900"/>
        <w:gridCol w:w="915"/>
        <w:gridCol w:w="870"/>
        <w:gridCol w:w="849"/>
        <w:gridCol w:w="546"/>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单位类别</w:t>
            </w:r>
          </w:p>
        </w:tc>
        <w:tc>
          <w:tcPr>
            <w:tcW w:w="81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辖区内单位总数</w:t>
            </w:r>
          </w:p>
        </w:tc>
        <w:tc>
          <w:tcPr>
            <w:tcW w:w="773"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检查单位数</w:t>
            </w:r>
          </w:p>
        </w:tc>
        <w:tc>
          <w:tcPr>
            <w:tcW w:w="11087" w:type="dxa"/>
            <w:gridSpan w:val="1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不合格情况</w:t>
            </w:r>
          </w:p>
        </w:tc>
        <w:tc>
          <w:tcPr>
            <w:tcW w:w="116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0" w:hRule="atLeast"/>
          <w:jc w:val="center"/>
        </w:trPr>
        <w:tc>
          <w:tcPr>
            <w:tcW w:w="81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黑体" w:cs="Times New Roman"/>
                <w:sz w:val="24"/>
              </w:rPr>
            </w:pPr>
          </w:p>
        </w:tc>
        <w:tc>
          <w:tcPr>
            <w:tcW w:w="81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黑体" w:cs="Times New Roman"/>
                <w:sz w:val="24"/>
              </w:rPr>
            </w:pPr>
          </w:p>
        </w:tc>
        <w:tc>
          <w:tcPr>
            <w:tcW w:w="77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黑体" w:cs="Times New Roman"/>
                <w:sz w:val="24"/>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放射诊疗建设项目不符合有关规定单位数</w:t>
            </w: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放射诊疗场所及其防护措施不符合有关规定单位数</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放射诊疗设备及配套设施不符合有关规定单位数</w:t>
            </w: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放射工作人员管理不符合有关规定单位数</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开展放射诊疗的人员条件不符合有关规定单位数</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对患者、受检者及其他非放射工作人员的保护不符合有关规定单位数</w:t>
            </w: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放射事件预防处置不符合有关规定单位数</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职业病人管理不符合有关规定单位数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档案管理与体系建设不符合有关规定单位数</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核医学诊疗过程不符合有关规定单位数</w:t>
            </w: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放射性同位素管理不符合有关规定单位数</w:t>
            </w:r>
          </w:p>
        </w:tc>
        <w:tc>
          <w:tcPr>
            <w:tcW w:w="8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放射治疗过程不符合有关规定单位数</w:t>
            </w:r>
          </w:p>
        </w:tc>
        <w:tc>
          <w:tcPr>
            <w:tcW w:w="5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案件查处数</w:t>
            </w:r>
          </w:p>
        </w:tc>
        <w:tc>
          <w:tcPr>
            <w:tcW w:w="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黑体" w:cs="Times New Roman"/>
                <w:sz w:val="24"/>
              </w:rPr>
            </w:pPr>
            <w:r>
              <w:rPr>
                <w:rFonts w:hint="default" w:ascii="仿宋_GB2312" w:hAnsi="仿宋_GB2312" w:eastAsia="黑体" w:cs="Times New Roman"/>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仿宋_GB2312" w:cs="Times New Roman"/>
                <w:sz w:val="24"/>
              </w:rPr>
            </w:pPr>
            <w:r>
              <w:rPr>
                <w:rFonts w:hint="default" w:ascii="仿宋_GB2312" w:hAnsi="仿宋_GB2312" w:eastAsia="仿宋_GB2312" w:cs="Times New Roman"/>
                <w:sz w:val="24"/>
              </w:rPr>
              <w:t>放射诊疗机构</w:t>
            </w:r>
          </w:p>
        </w:tc>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5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仿宋_GB2312" w:hAnsi="仿宋_GB2312" w:eastAsia="仿宋_GB2312" w:cs="Times New Roman"/>
                <w:sz w:val="24"/>
              </w:rPr>
            </w:pPr>
            <w:r>
              <w:rPr>
                <w:rFonts w:hint="default" w:ascii="仿宋_GB2312" w:hAnsi="仿宋_GB2312" w:eastAsia="仿宋_GB2312" w:cs="Times New Roman"/>
                <w:sz w:val="24"/>
              </w:rPr>
              <w:t>合</w:t>
            </w:r>
            <w:r>
              <w:rPr>
                <w:rFonts w:hint="default" w:ascii="仿宋_GB2312" w:hAnsi="仿宋_GB2312" w:cs="Times New Roman"/>
                <w:sz w:val="24"/>
              </w:rPr>
              <w:t xml:space="preserve"> </w:t>
            </w:r>
            <w:r>
              <w:rPr>
                <w:rFonts w:hint="default" w:ascii="仿宋_GB2312" w:hAnsi="仿宋_GB2312" w:eastAsia="仿宋_GB2312" w:cs="Times New Roman"/>
                <w:sz w:val="24"/>
              </w:rPr>
              <w:t>计</w:t>
            </w:r>
          </w:p>
        </w:tc>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8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5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c>
          <w:tcPr>
            <w:tcW w:w="6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rPr>
                <w:rFonts w:hint="default" w:ascii="仿宋_GB2312" w:hAnsi="仿宋_GB2312" w:eastAsia="仿宋_GB2312" w:cs="Times New Roman"/>
                <w:sz w:val="24"/>
              </w:rPr>
            </w:pPr>
          </w:p>
        </w:tc>
      </w:tr>
    </w:tbl>
    <w:p>
      <w:pPr>
        <w:rPr>
          <w:rFonts w:hint="default" w:ascii="仿宋_GB2312" w:hAnsi="仿宋_GB2312" w:cs="Times New Roman"/>
        </w:rPr>
        <w:sectPr>
          <w:pgSz w:w="16838" w:h="11905" w:orient="landscape"/>
          <w:pgMar w:top="1134" w:right="1134" w:bottom="1134" w:left="1134" w:header="851" w:footer="851" w:gutter="0"/>
          <w:pgNumType w:fmt="decimal"/>
          <w:cols w:space="720" w:num="1"/>
          <w:docGrid w:type="linesAndChars" w:linePitch="439" w:charSpace="0"/>
        </w:sectPr>
      </w:pPr>
    </w:p>
    <w:p>
      <w:pPr>
        <w:widowControl/>
        <w:adjustRightInd w:val="0"/>
        <w:snapToGrid w:val="0"/>
        <w:spacing w:line="590" w:lineRule="exact"/>
        <w:jc w:val="left"/>
        <w:rPr>
          <w:rFonts w:hint="eastAsia" w:ascii="黑体" w:hAnsi="黑体" w:eastAsia="黑体" w:cs="黑体"/>
          <w:lang w:eastAsia="zh-CN"/>
        </w:rPr>
      </w:pPr>
      <w:r>
        <w:rPr>
          <w:rFonts w:hint="eastAsia" w:ascii="黑体" w:hAnsi="黑体" w:eastAsia="黑体" w:cs="黑体"/>
        </w:rPr>
        <w:t>附表</w:t>
      </w:r>
      <w:r>
        <w:rPr>
          <w:rFonts w:hint="eastAsia" w:ascii="黑体" w:hAnsi="黑体" w:eastAsia="黑体" w:cs="黑体"/>
          <w:lang w:val="en-US" w:eastAsia="zh-CN"/>
        </w:rPr>
        <w:t>7</w:t>
      </w:r>
    </w:p>
    <w:p>
      <w:pPr>
        <w:widowControl w:val="0"/>
        <w:adjustRightInd w:val="0"/>
        <w:snapToGrid w:val="0"/>
        <w:spacing w:line="240" w:lineRule="auto"/>
        <w:jc w:val="both"/>
        <w:rPr>
          <w:rFonts w:hint="default" w:ascii="仿宋_GB2312" w:hAnsi="仿宋_GB2312" w:eastAsia="仿宋_GB2312" w:cs="Times New Roman"/>
        </w:rPr>
      </w:pPr>
    </w:p>
    <w:p>
      <w:pPr>
        <w:adjustRightInd w:val="0"/>
        <w:snapToGrid w:val="0"/>
        <w:spacing w:line="240" w:lineRule="auto"/>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b w:val="0"/>
          <w:sz w:val="40"/>
          <w:szCs w:val="36"/>
        </w:rPr>
        <w:t>202</w:t>
      </w:r>
      <w:r>
        <w:rPr>
          <w:rFonts w:hint="eastAsia" w:ascii="方正小标宋简体" w:hAnsi="方正小标宋简体" w:eastAsia="方正小标宋简体" w:cs="方正小标宋简体"/>
          <w:b w:val="0"/>
          <w:sz w:val="40"/>
          <w:szCs w:val="36"/>
          <w:lang w:val="en-US" w:eastAsia="zh-CN"/>
        </w:rPr>
        <w:t>2</w:t>
      </w:r>
      <w:r>
        <w:rPr>
          <w:rFonts w:hint="eastAsia" w:ascii="方正小标宋简体" w:hAnsi="方正小标宋简体" w:eastAsia="方正小标宋简体" w:cs="方正小标宋简体"/>
          <w:b w:val="0"/>
          <w:sz w:val="40"/>
          <w:szCs w:val="36"/>
        </w:rPr>
        <w:t>年职业健康检查机构、职业病诊断机构及</w:t>
      </w:r>
    </w:p>
    <w:p>
      <w:pPr>
        <w:adjustRightInd w:val="0"/>
        <w:snapToGrid w:val="0"/>
        <w:spacing w:line="240" w:lineRule="auto"/>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b w:val="0"/>
          <w:sz w:val="40"/>
          <w:szCs w:val="36"/>
        </w:rPr>
        <w:t>放射卫生技术服务机构</w:t>
      </w:r>
      <w:r>
        <w:rPr>
          <w:rFonts w:hint="eastAsia" w:ascii="方正小标宋简体" w:hAnsi="方正小标宋简体" w:eastAsia="方正小标宋简体" w:cs="方正小标宋简体"/>
          <w:b w:val="0"/>
          <w:bCs w:val="0"/>
          <w:sz w:val="40"/>
          <w:szCs w:val="36"/>
        </w:rPr>
        <w:t>国家监督抽查汇总表</w:t>
      </w:r>
    </w:p>
    <w:tbl>
      <w:tblPr>
        <w:tblStyle w:val="5"/>
        <w:tblpPr w:leftFromText="180" w:rightFromText="180" w:vertAnchor="page" w:horzAnchor="margin" w:tblpXSpec="right" w:tblpY="37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1"/>
        <w:gridCol w:w="930"/>
        <w:gridCol w:w="825"/>
        <w:gridCol w:w="1065"/>
        <w:gridCol w:w="975"/>
        <w:gridCol w:w="945"/>
        <w:gridCol w:w="900"/>
        <w:gridCol w:w="990"/>
        <w:gridCol w:w="960"/>
        <w:gridCol w:w="945"/>
        <w:gridCol w:w="1125"/>
        <w:gridCol w:w="1570"/>
        <w:gridCol w:w="486"/>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eastAsia="黑体" w:cs="Times New Roman"/>
                <w:sz w:val="24"/>
              </w:rPr>
            </w:pPr>
          </w:p>
        </w:tc>
        <w:tc>
          <w:tcPr>
            <w:tcW w:w="93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辖区内单位总数</w:t>
            </w:r>
          </w:p>
        </w:tc>
        <w:tc>
          <w:tcPr>
            <w:tcW w:w="82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检查单位数</w:t>
            </w:r>
          </w:p>
        </w:tc>
        <w:tc>
          <w:tcPr>
            <w:tcW w:w="9475" w:type="dxa"/>
            <w:gridSpan w:val="9"/>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不合格情况</w:t>
            </w:r>
          </w:p>
        </w:tc>
        <w:tc>
          <w:tcPr>
            <w:tcW w:w="123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出具的报告书、诊断证明书不符合相关要求单位数</w:t>
            </w:r>
          </w:p>
        </w:tc>
        <w:tc>
          <w:tcPr>
            <w:tcW w:w="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人员不能满足工作要求单位数</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仪器设备场所不能满足工作要求单位数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出具虚假证明文件</w:t>
            </w: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质量控制、程序不符合相关要求单位数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档案管理不符合相关要求单位数</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管理制度不符合相关要求单位数</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劳动者保护不符合相关要求单位数</w:t>
            </w:r>
          </w:p>
        </w:tc>
        <w:tc>
          <w:tcPr>
            <w:tcW w:w="15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职业健康检查结果、职业禁忌、疑似职业病、职业病的告知、通知、报告不符合相关要求单位数</w:t>
            </w:r>
          </w:p>
        </w:tc>
        <w:tc>
          <w:tcPr>
            <w:tcW w:w="4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案件查处数</w:t>
            </w:r>
          </w:p>
        </w:tc>
        <w:tc>
          <w:tcPr>
            <w:tcW w:w="7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职业健康检查机构</w:t>
            </w:r>
          </w:p>
        </w:tc>
        <w:tc>
          <w:tcPr>
            <w:tcW w:w="9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5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4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职业病诊断机构</w:t>
            </w:r>
          </w:p>
        </w:tc>
        <w:tc>
          <w:tcPr>
            <w:tcW w:w="9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5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4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放射卫生技术</w:t>
            </w:r>
          </w:p>
          <w:p>
            <w:pPr>
              <w:adjustRightInd w:val="0"/>
              <w:snapToGrid w:val="0"/>
              <w:jc w:val="center"/>
              <w:rPr>
                <w:rFonts w:hint="default" w:ascii="仿宋_GB2312" w:hAnsi="仿宋_GB2312" w:cs="Times New Roman"/>
                <w:sz w:val="24"/>
              </w:rPr>
            </w:pPr>
            <w:r>
              <w:rPr>
                <w:rFonts w:hint="default" w:ascii="仿宋_GB2312" w:hAnsi="仿宋_GB2312" w:cs="Times New Roman"/>
                <w:sz w:val="24"/>
              </w:rPr>
              <w:t>服务机构</w:t>
            </w:r>
          </w:p>
        </w:tc>
        <w:tc>
          <w:tcPr>
            <w:tcW w:w="9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w:t>
            </w:r>
          </w:p>
        </w:tc>
        <w:tc>
          <w:tcPr>
            <w:tcW w:w="15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w:t>
            </w:r>
          </w:p>
        </w:tc>
        <w:tc>
          <w:tcPr>
            <w:tcW w:w="4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4"/>
              </w:rPr>
            </w:pPr>
            <w:r>
              <w:rPr>
                <w:rFonts w:hint="default" w:ascii="仿宋_GB2312" w:hAnsi="仿宋_GB2312" w:cs="Times New Roman"/>
                <w:sz w:val="24"/>
              </w:rPr>
              <w:t>合  计</w:t>
            </w:r>
          </w:p>
        </w:tc>
        <w:tc>
          <w:tcPr>
            <w:tcW w:w="9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15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4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c>
          <w:tcPr>
            <w:tcW w:w="7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4"/>
              </w:rPr>
            </w:pPr>
          </w:p>
        </w:tc>
      </w:tr>
    </w:tbl>
    <w:p>
      <w:pPr>
        <w:adjustRightInd w:val="0"/>
        <w:snapToGrid w:val="0"/>
        <w:spacing w:line="590" w:lineRule="exact"/>
        <w:rPr>
          <w:rFonts w:hint="default" w:ascii="仿宋_GB2312" w:hAnsi="仿宋_GB2312" w:eastAsia="黑体" w:cs="Times New Roman"/>
        </w:rPr>
      </w:pPr>
    </w:p>
    <w:p>
      <w:pPr>
        <w:adjustRightInd w:val="0"/>
        <w:snapToGrid w:val="0"/>
        <w:spacing w:line="590" w:lineRule="exact"/>
        <w:rPr>
          <w:rFonts w:hint="eastAsia" w:ascii="黑体" w:hAnsi="黑体" w:eastAsia="黑体" w:cs="黑体"/>
          <w:lang w:eastAsia="zh-CN"/>
        </w:rPr>
      </w:pPr>
      <w:r>
        <w:rPr>
          <w:rFonts w:hint="eastAsia" w:ascii="黑体" w:hAnsi="黑体" w:eastAsia="黑体" w:cs="黑体"/>
        </w:rPr>
        <w:t>附表</w:t>
      </w:r>
      <w:r>
        <w:rPr>
          <w:rFonts w:hint="eastAsia" w:ascii="黑体" w:hAnsi="黑体" w:eastAsia="黑体" w:cs="黑体"/>
          <w:lang w:val="en-US" w:eastAsia="zh-CN"/>
        </w:rPr>
        <w:t>8</w:t>
      </w:r>
    </w:p>
    <w:p>
      <w:pPr>
        <w:adjustRightInd w:val="0"/>
        <w:snapToGrid w:val="0"/>
        <w:rPr>
          <w:rFonts w:hint="default" w:ascii="仿宋_GB2312" w:hAnsi="仿宋_GB2312" w:cs="Times New Roman"/>
        </w:rPr>
      </w:pP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2022年母婴保健、计划生育技术服务机构国家随机监督抽查工作计划表</w:t>
      </w:r>
    </w:p>
    <w:p>
      <w:pPr>
        <w:adjustRightInd w:val="0"/>
        <w:snapToGrid w:val="0"/>
        <w:spacing w:line="590" w:lineRule="exact"/>
        <w:rPr>
          <w:rFonts w:hint="default" w:ascii="仿宋_GB2312" w:hAnsi="仿宋_GB2312" w:cs="Times New Roma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02"/>
        <w:gridCol w:w="1230"/>
        <w:gridCol w:w="8757"/>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序号</w:t>
            </w:r>
          </w:p>
        </w:tc>
        <w:tc>
          <w:tcPr>
            <w:tcW w:w="1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监督检查对象</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抽查比例</w:t>
            </w:r>
          </w:p>
        </w:tc>
        <w:tc>
          <w:tcPr>
            <w:tcW w:w="875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检查内容</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eastAsia="黑体" w:cs="Times New Roman"/>
                <w:sz w:val="24"/>
              </w:rPr>
            </w:pPr>
            <w:r>
              <w:rPr>
                <w:rFonts w:hint="default" w:ascii="仿宋_GB2312" w:hAnsi="仿宋_GB2312" w:eastAsia="黑体" w:cs="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1</w:t>
            </w:r>
          </w:p>
        </w:tc>
        <w:tc>
          <w:tcPr>
            <w:tcW w:w="1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妇幼保健院</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50％</w:t>
            </w:r>
          </w:p>
        </w:tc>
        <w:tc>
          <w:tcPr>
            <w:tcW w:w="875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2"/>
                <w:szCs w:val="21"/>
              </w:rPr>
            </w:pPr>
            <w:r>
              <w:rPr>
                <w:rFonts w:hint="default" w:ascii="仿宋_GB2312" w:hAnsi="仿宋_GB2312" w:cs="Times New Roman"/>
                <w:sz w:val="22"/>
                <w:szCs w:val="21"/>
              </w:rPr>
              <w:t xml:space="preserve">1.机构及人员资质情况。开展母婴保健技术服务的机构执业资质和人员执业资格情况；开展计划生育技术服务的机构执业资质和人员执业资格情况；开展人类辅助生殖技术等服务的机构执业资质情况； </w:t>
            </w:r>
          </w:p>
          <w:p>
            <w:pPr>
              <w:adjustRightInd w:val="0"/>
              <w:snapToGrid w:val="0"/>
              <w:rPr>
                <w:rFonts w:hint="default" w:ascii="仿宋_GB2312" w:hAnsi="仿宋_GB2312" w:cs="Times New Roman"/>
                <w:sz w:val="22"/>
                <w:szCs w:val="21"/>
              </w:rPr>
            </w:pPr>
            <w:r>
              <w:rPr>
                <w:rFonts w:hint="default" w:ascii="仿宋_GB2312" w:hAnsi="仿宋_GB2312" w:cs="Times New Roman"/>
                <w:sz w:val="22"/>
                <w:szCs w:val="21"/>
              </w:rPr>
              <w:t>2.法律法规执行情况。机构是否按照批准的业务范围和服务项目执业；人员是否按照批准的服务项目执业；机构是否符合开展技术服务设置标准；开展终止中期以上妊娠手术是否进行查验登记；开展人类辅助生殖技术是否查验身份证、结婚证；相关技术服务是否遵守知情同意的原则；出具医学证明文件和诊断报告是否符合相关规定；病历、记录、档案等医疗文书是否符合相关规定；是否设置禁止“两非”的警示标志；是否依法发布母婴保健与计划生育技术服务广告；开展产前诊断、产前筛查、人类辅助生殖技术等服务是否符合相关要求；</w:t>
            </w:r>
          </w:p>
          <w:p>
            <w:pPr>
              <w:adjustRightInd w:val="0"/>
              <w:snapToGrid w:val="0"/>
              <w:rPr>
                <w:rFonts w:hint="default" w:ascii="仿宋_GB2312" w:hAnsi="仿宋_GB2312" w:cs="Times New Roman"/>
                <w:sz w:val="22"/>
                <w:szCs w:val="21"/>
              </w:rPr>
            </w:pPr>
            <w:r>
              <w:rPr>
                <w:rFonts w:hint="default" w:ascii="仿宋_GB2312" w:hAnsi="仿宋_GB2312" w:cs="Times New Roman"/>
                <w:sz w:val="22"/>
                <w:szCs w:val="21"/>
              </w:rPr>
              <w:t>3. 制度建立情况。是否建立禁止胎儿性别鉴定的管理制度情况；是否建立终止中期以上妊娠查验登记制度情况；建立健全技术档案管理、转诊、追踪观察制度情况；是否建立孕产妇死亡、婴儿死亡以及新生儿出生缺陷报告制度情况；是否建立出生医学证明管理制度情况；是否具有保证技术服务安全和服务质量的其他管理制度情况。</w:t>
            </w:r>
          </w:p>
        </w:tc>
        <w:tc>
          <w:tcPr>
            <w:tcW w:w="1592"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2"/>
                <w:szCs w:val="21"/>
              </w:rPr>
            </w:pPr>
            <w:r>
              <w:rPr>
                <w:rFonts w:hint="default" w:ascii="仿宋_GB2312" w:hAnsi="仿宋_GB2312" w:cs="Times New Roman"/>
                <w:sz w:val="22"/>
                <w:szCs w:val="21"/>
              </w:rPr>
              <w:t>根据各机构业务开展情况，检查内容可合理缺项。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2</w:t>
            </w:r>
          </w:p>
        </w:tc>
        <w:tc>
          <w:tcPr>
            <w:tcW w:w="1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妇幼保健计划生育技术服务机构</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50％</w:t>
            </w:r>
          </w:p>
        </w:tc>
        <w:tc>
          <w:tcPr>
            <w:tcW w:w="875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仿宋_GB2312" w:hAnsi="仿宋_GB2312" w:cs="Times New Roman"/>
                <w:sz w:val="21"/>
                <w:szCs w:val="21"/>
              </w:rPr>
            </w:pPr>
          </w:p>
        </w:tc>
        <w:tc>
          <w:tcPr>
            <w:tcW w:w="1592"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3</w:t>
            </w:r>
          </w:p>
        </w:tc>
        <w:tc>
          <w:tcPr>
            <w:tcW w:w="1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pacing w:val="-11"/>
                <w:sz w:val="22"/>
                <w:szCs w:val="21"/>
              </w:rPr>
              <w:t>其他医疗、保健机构</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hAnsi="仿宋_GB2312" w:cs="Times New Roman"/>
                <w:sz w:val="22"/>
                <w:szCs w:val="21"/>
              </w:rPr>
            </w:pPr>
            <w:r>
              <w:rPr>
                <w:rFonts w:hint="default" w:ascii="仿宋_GB2312" w:hAnsi="仿宋_GB2312" w:cs="Times New Roman"/>
                <w:sz w:val="22"/>
                <w:szCs w:val="21"/>
              </w:rPr>
              <w:t>50％</w:t>
            </w:r>
          </w:p>
        </w:tc>
        <w:tc>
          <w:tcPr>
            <w:tcW w:w="875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仿宋_GB2312" w:hAnsi="仿宋_GB2312" w:cs="Times New Roman"/>
                <w:sz w:val="21"/>
                <w:szCs w:val="21"/>
              </w:rPr>
            </w:pPr>
          </w:p>
        </w:tc>
        <w:tc>
          <w:tcPr>
            <w:tcW w:w="1592"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仿宋_GB2312" w:hAnsi="仿宋_GB2312" w:cs="Times New Roman"/>
                <w:sz w:val="21"/>
                <w:szCs w:val="21"/>
              </w:rPr>
            </w:pPr>
          </w:p>
        </w:tc>
      </w:tr>
    </w:tbl>
    <w:p>
      <w:pPr>
        <w:rPr>
          <w:rFonts w:hint="default" w:ascii="仿宋_GB2312" w:hAnsi="仿宋_GB2312" w:cs="Times New Roman"/>
        </w:rPr>
        <w:sectPr>
          <w:pgSz w:w="16838" w:h="11905" w:orient="landscape"/>
          <w:pgMar w:top="1134" w:right="1134" w:bottom="1134" w:left="1134" w:header="851" w:footer="851" w:gutter="0"/>
          <w:pgNumType w:fmt="decimal"/>
          <w:cols w:space="720" w:num="1"/>
          <w:docGrid w:type="linesAndChars" w:linePitch="439" w:charSpace="0"/>
        </w:sectPr>
      </w:pPr>
    </w:p>
    <w:p>
      <w:pPr>
        <w:adjustRightInd w:val="0"/>
        <w:snapToGrid w:val="0"/>
        <w:spacing w:line="590" w:lineRule="exact"/>
        <w:ind w:leftChars="0" w:firstLine="0" w:firstLineChars="0"/>
        <w:rPr>
          <w:rFonts w:hint="eastAsia" w:ascii="黑体" w:hAnsi="黑体" w:eastAsia="黑体" w:cs="黑体"/>
          <w:lang w:eastAsia="zh-CN"/>
        </w:rPr>
      </w:pPr>
      <w:r>
        <w:rPr>
          <w:rFonts w:hint="eastAsia" w:ascii="黑体" w:hAnsi="黑体" w:eastAsia="黑体" w:cs="黑体"/>
        </w:rPr>
        <w:t>附表</w:t>
      </w:r>
      <w:r>
        <w:rPr>
          <w:rFonts w:hint="eastAsia" w:ascii="黑体" w:hAnsi="黑体" w:eastAsia="黑体" w:cs="黑体"/>
          <w:lang w:val="en-US" w:eastAsia="zh-CN"/>
        </w:rPr>
        <w:t>9</w:t>
      </w:r>
    </w:p>
    <w:p>
      <w:pPr>
        <w:adjustRightInd w:val="0"/>
        <w:snapToGrid w:val="0"/>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2022年母婴保健、计划生育技术服务机构国家随机监督抽查汇总表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442"/>
        <w:gridCol w:w="434"/>
        <w:gridCol w:w="483"/>
        <w:gridCol w:w="474"/>
        <w:gridCol w:w="511"/>
        <w:gridCol w:w="488"/>
        <w:gridCol w:w="497"/>
        <w:gridCol w:w="524"/>
        <w:gridCol w:w="724"/>
        <w:gridCol w:w="515"/>
        <w:gridCol w:w="515"/>
        <w:gridCol w:w="702"/>
        <w:gridCol w:w="693"/>
        <w:gridCol w:w="511"/>
        <w:gridCol w:w="724"/>
        <w:gridCol w:w="493"/>
        <w:gridCol w:w="502"/>
        <w:gridCol w:w="715"/>
        <w:gridCol w:w="737"/>
        <w:gridCol w:w="483"/>
        <w:gridCol w:w="683"/>
        <w:gridCol w:w="450"/>
        <w:gridCol w:w="480"/>
        <w:gridCol w:w="463"/>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8"/>
              </w:rPr>
            </w:pPr>
            <w:r>
              <w:rPr>
                <w:rFonts w:hint="default" w:ascii="仿宋_GB2312" w:hAnsi="仿宋_GB2312" w:eastAsia="黑体" w:cs="Times New Roman"/>
                <w:sz w:val="20"/>
                <w:szCs w:val="28"/>
              </w:rPr>
              <w:t>单位</w:t>
            </w:r>
          </w:p>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类别</w:t>
            </w:r>
          </w:p>
        </w:tc>
        <w:tc>
          <w:tcPr>
            <w:tcW w:w="442"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辖区内单位总数</w:t>
            </w:r>
          </w:p>
        </w:tc>
        <w:tc>
          <w:tcPr>
            <w:tcW w:w="434"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检查单位数</w:t>
            </w:r>
          </w:p>
        </w:tc>
        <w:tc>
          <w:tcPr>
            <w:tcW w:w="10974" w:type="dxa"/>
            <w:gridSpan w:val="19"/>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不合格情况</w:t>
            </w:r>
          </w:p>
        </w:tc>
        <w:tc>
          <w:tcPr>
            <w:tcW w:w="1850" w:type="dxa"/>
            <w:gridSpan w:val="4"/>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42"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34"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957" w:type="dxa"/>
            <w:gridSpan w:val="2"/>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机构及人员资质情况</w:t>
            </w:r>
          </w:p>
        </w:tc>
        <w:tc>
          <w:tcPr>
            <w:tcW w:w="6404" w:type="dxa"/>
            <w:gridSpan w:val="11"/>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法律法规执行情况</w:t>
            </w:r>
          </w:p>
        </w:tc>
        <w:tc>
          <w:tcPr>
            <w:tcW w:w="3613" w:type="dxa"/>
            <w:gridSpan w:val="6"/>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制度建立情况</w:t>
            </w:r>
          </w:p>
        </w:tc>
        <w:tc>
          <w:tcPr>
            <w:tcW w:w="450"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查处案件数</w:t>
            </w:r>
          </w:p>
        </w:tc>
        <w:tc>
          <w:tcPr>
            <w:tcW w:w="480"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罚没款金额</w:t>
            </w:r>
            <w:r>
              <w:rPr>
                <w:rFonts w:hint="default" w:ascii="仿宋_GB2312" w:hAnsi="仿宋_GB2312" w:eastAsia="黑体" w:cs="Times New Roman"/>
                <w:spacing w:val="-40"/>
                <w:sz w:val="20"/>
                <w:szCs w:val="28"/>
              </w:rPr>
              <w:t>（万元）</w:t>
            </w:r>
          </w:p>
        </w:tc>
        <w:tc>
          <w:tcPr>
            <w:tcW w:w="463"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吊销执业机构许可证单位数</w:t>
            </w:r>
          </w:p>
        </w:tc>
        <w:tc>
          <w:tcPr>
            <w:tcW w:w="457" w:type="dxa"/>
            <w:vMerge w:val="restart"/>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吊销人员资格证单位数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42"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34"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83"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 xml:space="preserve">机构执业资质管理不符合要求单位数 </w:t>
            </w:r>
          </w:p>
        </w:tc>
        <w:tc>
          <w:tcPr>
            <w:tcW w:w="474"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人员资格管理不符合要求单位数</w:t>
            </w:r>
          </w:p>
        </w:tc>
        <w:tc>
          <w:tcPr>
            <w:tcW w:w="511"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机构未按照批准的业务范围和服务项目执业单位数</w:t>
            </w:r>
          </w:p>
        </w:tc>
        <w:tc>
          <w:tcPr>
            <w:tcW w:w="488"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人员未按照批准的服务项目执业单位数</w:t>
            </w:r>
          </w:p>
        </w:tc>
        <w:tc>
          <w:tcPr>
            <w:tcW w:w="497"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不符合开展技术服务的机构设置标准单位数</w:t>
            </w:r>
          </w:p>
        </w:tc>
        <w:tc>
          <w:tcPr>
            <w:tcW w:w="524"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未按要求开展终止中期以上妊娠手术进行查验登记单位数</w:t>
            </w:r>
          </w:p>
        </w:tc>
        <w:tc>
          <w:tcPr>
            <w:tcW w:w="724"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未按要求开展人类辅助生殖技术查验身份证、结婚证单位数</w:t>
            </w:r>
          </w:p>
        </w:tc>
        <w:tc>
          <w:tcPr>
            <w:tcW w:w="515"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开展相关技术服务未按要求遵守知情同意原则单位数</w:t>
            </w:r>
          </w:p>
        </w:tc>
        <w:tc>
          <w:tcPr>
            <w:tcW w:w="515"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出具医学证明文件和诊断报告不符合相关规定单位数</w:t>
            </w:r>
          </w:p>
        </w:tc>
        <w:tc>
          <w:tcPr>
            <w:tcW w:w="702"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病历、记录、档案等文书不符合相关规定单位数</w:t>
            </w:r>
          </w:p>
        </w:tc>
        <w:tc>
          <w:tcPr>
            <w:tcW w:w="693"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未按要求设置禁止“两非”警示标志单位数</w:t>
            </w:r>
          </w:p>
        </w:tc>
        <w:tc>
          <w:tcPr>
            <w:tcW w:w="511"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违法发布母婴保健与计划生育技术服务广告单位数</w:t>
            </w:r>
          </w:p>
        </w:tc>
        <w:tc>
          <w:tcPr>
            <w:tcW w:w="724"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开展产前诊断、人类辅助生殖技术等服务是否符合相关要求</w:t>
            </w:r>
          </w:p>
        </w:tc>
        <w:tc>
          <w:tcPr>
            <w:tcW w:w="493"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未建立禁止胎儿性别鉴定管理制度单位数</w:t>
            </w:r>
          </w:p>
        </w:tc>
        <w:tc>
          <w:tcPr>
            <w:tcW w:w="502"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未建立终止中期以上妊娠查验登记制度单位数</w:t>
            </w:r>
          </w:p>
        </w:tc>
        <w:tc>
          <w:tcPr>
            <w:tcW w:w="715"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未建立健全技术档案管理、转诊、追踪观察制度单位数</w:t>
            </w:r>
          </w:p>
        </w:tc>
        <w:tc>
          <w:tcPr>
            <w:tcW w:w="737"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未建立孕产妇死亡、婴儿死亡以及新生儿初生缺陷报告制度单位数</w:t>
            </w:r>
          </w:p>
        </w:tc>
        <w:tc>
          <w:tcPr>
            <w:tcW w:w="483"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未建立出生医学证明管理制度单位数</w:t>
            </w:r>
          </w:p>
        </w:tc>
        <w:tc>
          <w:tcPr>
            <w:tcW w:w="683" w:type="dxa"/>
            <w:noWrap w:val="0"/>
            <w:vAlign w:val="center"/>
          </w:tcPr>
          <w:p>
            <w:pPr>
              <w:adjustRightInd w:val="0"/>
              <w:snapToGrid w:val="0"/>
              <w:spacing w:line="200" w:lineRule="exact"/>
              <w:jc w:val="center"/>
              <w:rPr>
                <w:rFonts w:hint="default" w:ascii="仿宋_GB2312" w:hAnsi="仿宋_GB2312" w:eastAsia="黑体" w:cs="Times New Roman"/>
                <w:sz w:val="20"/>
                <w:szCs w:val="20"/>
              </w:rPr>
            </w:pPr>
            <w:r>
              <w:rPr>
                <w:rFonts w:hint="default" w:ascii="仿宋_GB2312" w:hAnsi="仿宋_GB2312" w:eastAsia="黑体" w:cs="Times New Roman"/>
                <w:sz w:val="20"/>
                <w:szCs w:val="28"/>
              </w:rPr>
              <w:t>不具有保证技术服务安全和服务质量的其他管理制度单位数</w:t>
            </w:r>
          </w:p>
        </w:tc>
        <w:tc>
          <w:tcPr>
            <w:tcW w:w="450"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80"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63"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c>
          <w:tcPr>
            <w:tcW w:w="457" w:type="dxa"/>
            <w:vMerge w:val="continue"/>
            <w:noWrap w:val="0"/>
            <w:vAlign w:val="center"/>
          </w:tcPr>
          <w:p>
            <w:pPr>
              <w:adjustRightInd w:val="0"/>
              <w:snapToGrid w:val="0"/>
              <w:spacing w:line="200" w:lineRule="exact"/>
              <w:jc w:val="center"/>
              <w:rPr>
                <w:rFonts w:hint="default" w:ascii="仿宋_GB2312" w:hAnsi="仿宋_GB2312" w:eastAsia="黑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noWrap w:val="0"/>
            <w:vAlign w:val="center"/>
          </w:tcPr>
          <w:p>
            <w:pPr>
              <w:adjustRightInd w:val="0"/>
              <w:snapToGrid w:val="0"/>
              <w:jc w:val="center"/>
              <w:rPr>
                <w:rFonts w:hint="default" w:ascii="仿宋_GB2312" w:hAnsi="仿宋_GB2312" w:cs="Times New Roman"/>
                <w:sz w:val="18"/>
                <w:szCs w:val="18"/>
              </w:rPr>
            </w:pPr>
            <w:r>
              <w:rPr>
                <w:rFonts w:hint="default" w:ascii="仿宋_GB2312" w:hAnsi="仿宋_GB2312" w:cs="Times New Roman"/>
                <w:spacing w:val="-11"/>
                <w:sz w:val="18"/>
              </w:rPr>
              <w:t>妇幼保健院</w:t>
            </w:r>
          </w:p>
        </w:tc>
        <w:tc>
          <w:tcPr>
            <w:tcW w:w="442" w:type="dxa"/>
            <w:noWrap w:val="0"/>
            <w:vAlign w:val="center"/>
          </w:tcPr>
          <w:p>
            <w:pPr>
              <w:adjustRightInd w:val="0"/>
              <w:snapToGrid w:val="0"/>
              <w:jc w:val="center"/>
              <w:rPr>
                <w:rFonts w:hint="default" w:ascii="仿宋_GB2312" w:hAnsi="仿宋_GB2312" w:cs="Times New Roman"/>
                <w:sz w:val="18"/>
                <w:szCs w:val="18"/>
              </w:rPr>
            </w:pPr>
          </w:p>
        </w:tc>
        <w:tc>
          <w:tcPr>
            <w:tcW w:w="434" w:type="dxa"/>
            <w:noWrap w:val="0"/>
            <w:vAlign w:val="center"/>
          </w:tcPr>
          <w:p>
            <w:pPr>
              <w:adjustRightInd w:val="0"/>
              <w:snapToGrid w:val="0"/>
              <w:jc w:val="center"/>
              <w:rPr>
                <w:rFonts w:hint="default" w:ascii="仿宋_GB2312" w:hAnsi="仿宋_GB2312" w:cs="Times New Roman"/>
                <w:sz w:val="18"/>
                <w:szCs w:val="18"/>
              </w:rPr>
            </w:pPr>
          </w:p>
        </w:tc>
        <w:tc>
          <w:tcPr>
            <w:tcW w:w="483" w:type="dxa"/>
            <w:noWrap w:val="0"/>
            <w:vAlign w:val="center"/>
          </w:tcPr>
          <w:p>
            <w:pPr>
              <w:adjustRightInd w:val="0"/>
              <w:snapToGrid w:val="0"/>
              <w:jc w:val="center"/>
              <w:rPr>
                <w:rFonts w:hint="default" w:ascii="仿宋_GB2312" w:hAnsi="仿宋_GB2312" w:cs="Times New Roman"/>
                <w:sz w:val="18"/>
                <w:szCs w:val="18"/>
              </w:rPr>
            </w:pPr>
          </w:p>
        </w:tc>
        <w:tc>
          <w:tcPr>
            <w:tcW w:w="474" w:type="dxa"/>
            <w:noWrap w:val="0"/>
            <w:vAlign w:val="center"/>
          </w:tcPr>
          <w:p>
            <w:pPr>
              <w:adjustRightInd w:val="0"/>
              <w:snapToGrid w:val="0"/>
              <w:jc w:val="center"/>
              <w:rPr>
                <w:rFonts w:hint="default" w:ascii="仿宋_GB2312" w:hAnsi="仿宋_GB2312" w:cs="Times New Roman"/>
                <w:sz w:val="18"/>
                <w:szCs w:val="18"/>
              </w:rPr>
            </w:pPr>
          </w:p>
        </w:tc>
        <w:tc>
          <w:tcPr>
            <w:tcW w:w="511" w:type="dxa"/>
            <w:noWrap w:val="0"/>
            <w:vAlign w:val="center"/>
          </w:tcPr>
          <w:p>
            <w:pPr>
              <w:adjustRightInd w:val="0"/>
              <w:snapToGrid w:val="0"/>
              <w:jc w:val="center"/>
              <w:rPr>
                <w:rFonts w:hint="default" w:ascii="仿宋_GB2312" w:hAnsi="仿宋_GB2312" w:cs="Times New Roman"/>
                <w:sz w:val="18"/>
                <w:szCs w:val="18"/>
              </w:rPr>
            </w:pPr>
          </w:p>
        </w:tc>
        <w:tc>
          <w:tcPr>
            <w:tcW w:w="488" w:type="dxa"/>
            <w:noWrap w:val="0"/>
            <w:vAlign w:val="center"/>
          </w:tcPr>
          <w:p>
            <w:pPr>
              <w:adjustRightInd w:val="0"/>
              <w:snapToGrid w:val="0"/>
              <w:jc w:val="center"/>
              <w:rPr>
                <w:rFonts w:hint="default" w:ascii="仿宋_GB2312" w:hAnsi="仿宋_GB2312" w:cs="Times New Roman"/>
                <w:sz w:val="18"/>
                <w:szCs w:val="18"/>
              </w:rPr>
            </w:pPr>
          </w:p>
        </w:tc>
        <w:tc>
          <w:tcPr>
            <w:tcW w:w="497" w:type="dxa"/>
            <w:noWrap w:val="0"/>
            <w:vAlign w:val="center"/>
          </w:tcPr>
          <w:p>
            <w:pPr>
              <w:adjustRightInd w:val="0"/>
              <w:snapToGrid w:val="0"/>
              <w:jc w:val="center"/>
              <w:rPr>
                <w:rFonts w:hint="default" w:ascii="仿宋_GB2312" w:hAnsi="仿宋_GB2312" w:cs="Times New Roman"/>
                <w:sz w:val="18"/>
                <w:szCs w:val="18"/>
              </w:rPr>
            </w:pPr>
          </w:p>
        </w:tc>
        <w:tc>
          <w:tcPr>
            <w:tcW w:w="524" w:type="dxa"/>
            <w:noWrap w:val="0"/>
            <w:vAlign w:val="center"/>
          </w:tcPr>
          <w:p>
            <w:pPr>
              <w:adjustRightInd w:val="0"/>
              <w:snapToGrid w:val="0"/>
              <w:jc w:val="center"/>
              <w:rPr>
                <w:rFonts w:hint="default" w:ascii="仿宋_GB2312" w:hAnsi="仿宋_GB2312" w:cs="Times New Roman"/>
                <w:sz w:val="18"/>
                <w:szCs w:val="18"/>
              </w:rPr>
            </w:pPr>
          </w:p>
        </w:tc>
        <w:tc>
          <w:tcPr>
            <w:tcW w:w="724" w:type="dxa"/>
            <w:noWrap w:val="0"/>
            <w:vAlign w:val="center"/>
          </w:tcPr>
          <w:p>
            <w:pPr>
              <w:adjustRightInd w:val="0"/>
              <w:snapToGrid w:val="0"/>
              <w:jc w:val="center"/>
              <w:rPr>
                <w:rFonts w:hint="default" w:ascii="仿宋_GB2312" w:hAnsi="仿宋_GB2312" w:cs="Times New Roman"/>
                <w:sz w:val="18"/>
                <w:szCs w:val="18"/>
              </w:rPr>
            </w:pPr>
          </w:p>
        </w:tc>
        <w:tc>
          <w:tcPr>
            <w:tcW w:w="515" w:type="dxa"/>
            <w:noWrap w:val="0"/>
            <w:vAlign w:val="center"/>
          </w:tcPr>
          <w:p>
            <w:pPr>
              <w:adjustRightInd w:val="0"/>
              <w:snapToGrid w:val="0"/>
              <w:jc w:val="center"/>
              <w:rPr>
                <w:rFonts w:hint="default" w:ascii="仿宋_GB2312" w:hAnsi="仿宋_GB2312" w:cs="Times New Roman"/>
                <w:sz w:val="18"/>
                <w:szCs w:val="18"/>
              </w:rPr>
            </w:pPr>
          </w:p>
        </w:tc>
        <w:tc>
          <w:tcPr>
            <w:tcW w:w="515" w:type="dxa"/>
            <w:noWrap w:val="0"/>
            <w:vAlign w:val="center"/>
          </w:tcPr>
          <w:p>
            <w:pPr>
              <w:adjustRightInd w:val="0"/>
              <w:snapToGrid w:val="0"/>
              <w:jc w:val="center"/>
              <w:rPr>
                <w:rFonts w:hint="default" w:ascii="仿宋_GB2312" w:hAnsi="仿宋_GB2312" w:cs="Times New Roman"/>
                <w:sz w:val="18"/>
                <w:szCs w:val="18"/>
              </w:rPr>
            </w:pPr>
          </w:p>
        </w:tc>
        <w:tc>
          <w:tcPr>
            <w:tcW w:w="702" w:type="dxa"/>
            <w:noWrap w:val="0"/>
            <w:vAlign w:val="center"/>
          </w:tcPr>
          <w:p>
            <w:pPr>
              <w:adjustRightInd w:val="0"/>
              <w:snapToGrid w:val="0"/>
              <w:jc w:val="center"/>
              <w:rPr>
                <w:rFonts w:hint="default" w:ascii="仿宋_GB2312" w:hAnsi="仿宋_GB2312" w:cs="Times New Roman"/>
                <w:sz w:val="18"/>
                <w:szCs w:val="18"/>
              </w:rPr>
            </w:pPr>
          </w:p>
        </w:tc>
        <w:tc>
          <w:tcPr>
            <w:tcW w:w="693" w:type="dxa"/>
            <w:noWrap w:val="0"/>
            <w:vAlign w:val="center"/>
          </w:tcPr>
          <w:p>
            <w:pPr>
              <w:adjustRightInd w:val="0"/>
              <w:snapToGrid w:val="0"/>
              <w:jc w:val="center"/>
              <w:rPr>
                <w:rFonts w:hint="default" w:ascii="仿宋_GB2312" w:hAnsi="仿宋_GB2312" w:cs="Times New Roman"/>
                <w:sz w:val="18"/>
                <w:szCs w:val="18"/>
              </w:rPr>
            </w:pPr>
          </w:p>
        </w:tc>
        <w:tc>
          <w:tcPr>
            <w:tcW w:w="511" w:type="dxa"/>
            <w:noWrap w:val="0"/>
            <w:vAlign w:val="center"/>
          </w:tcPr>
          <w:p>
            <w:pPr>
              <w:adjustRightInd w:val="0"/>
              <w:snapToGrid w:val="0"/>
              <w:jc w:val="center"/>
              <w:rPr>
                <w:rFonts w:hint="default" w:ascii="仿宋_GB2312" w:hAnsi="仿宋_GB2312" w:cs="Times New Roman"/>
                <w:sz w:val="18"/>
                <w:szCs w:val="18"/>
              </w:rPr>
            </w:pPr>
          </w:p>
        </w:tc>
        <w:tc>
          <w:tcPr>
            <w:tcW w:w="724" w:type="dxa"/>
            <w:noWrap w:val="0"/>
            <w:vAlign w:val="center"/>
          </w:tcPr>
          <w:p>
            <w:pPr>
              <w:adjustRightInd w:val="0"/>
              <w:snapToGrid w:val="0"/>
              <w:jc w:val="center"/>
              <w:rPr>
                <w:rFonts w:hint="default" w:ascii="仿宋_GB2312" w:hAnsi="仿宋_GB2312" w:cs="Times New Roman"/>
                <w:sz w:val="18"/>
                <w:szCs w:val="18"/>
              </w:rPr>
            </w:pPr>
          </w:p>
        </w:tc>
        <w:tc>
          <w:tcPr>
            <w:tcW w:w="493" w:type="dxa"/>
            <w:noWrap w:val="0"/>
            <w:vAlign w:val="center"/>
          </w:tcPr>
          <w:p>
            <w:pPr>
              <w:adjustRightInd w:val="0"/>
              <w:snapToGrid w:val="0"/>
              <w:jc w:val="center"/>
              <w:rPr>
                <w:rFonts w:hint="default" w:ascii="仿宋_GB2312" w:hAnsi="仿宋_GB2312" w:cs="Times New Roman"/>
                <w:sz w:val="18"/>
                <w:szCs w:val="18"/>
              </w:rPr>
            </w:pPr>
          </w:p>
        </w:tc>
        <w:tc>
          <w:tcPr>
            <w:tcW w:w="502" w:type="dxa"/>
            <w:noWrap w:val="0"/>
            <w:vAlign w:val="center"/>
          </w:tcPr>
          <w:p>
            <w:pPr>
              <w:adjustRightInd w:val="0"/>
              <w:snapToGrid w:val="0"/>
              <w:jc w:val="center"/>
              <w:rPr>
                <w:rFonts w:hint="default" w:ascii="仿宋_GB2312" w:hAnsi="仿宋_GB2312" w:cs="Times New Roman"/>
                <w:sz w:val="18"/>
                <w:szCs w:val="18"/>
              </w:rPr>
            </w:pPr>
          </w:p>
        </w:tc>
        <w:tc>
          <w:tcPr>
            <w:tcW w:w="715" w:type="dxa"/>
            <w:noWrap w:val="0"/>
            <w:vAlign w:val="center"/>
          </w:tcPr>
          <w:p>
            <w:pPr>
              <w:adjustRightInd w:val="0"/>
              <w:snapToGrid w:val="0"/>
              <w:jc w:val="center"/>
              <w:rPr>
                <w:rFonts w:hint="default" w:ascii="仿宋_GB2312" w:hAnsi="仿宋_GB2312" w:cs="Times New Roman"/>
                <w:sz w:val="18"/>
                <w:szCs w:val="18"/>
              </w:rPr>
            </w:pPr>
          </w:p>
        </w:tc>
        <w:tc>
          <w:tcPr>
            <w:tcW w:w="737" w:type="dxa"/>
            <w:noWrap w:val="0"/>
            <w:vAlign w:val="center"/>
          </w:tcPr>
          <w:p>
            <w:pPr>
              <w:adjustRightInd w:val="0"/>
              <w:snapToGrid w:val="0"/>
              <w:jc w:val="center"/>
              <w:rPr>
                <w:rFonts w:hint="default" w:ascii="仿宋_GB2312" w:hAnsi="仿宋_GB2312" w:cs="Times New Roman"/>
                <w:sz w:val="18"/>
                <w:szCs w:val="18"/>
              </w:rPr>
            </w:pPr>
          </w:p>
        </w:tc>
        <w:tc>
          <w:tcPr>
            <w:tcW w:w="483" w:type="dxa"/>
            <w:noWrap w:val="0"/>
            <w:vAlign w:val="center"/>
          </w:tcPr>
          <w:p>
            <w:pPr>
              <w:adjustRightInd w:val="0"/>
              <w:snapToGrid w:val="0"/>
              <w:jc w:val="center"/>
              <w:rPr>
                <w:rFonts w:hint="default" w:ascii="仿宋_GB2312" w:hAnsi="仿宋_GB2312" w:cs="Times New Roman"/>
                <w:sz w:val="18"/>
                <w:szCs w:val="18"/>
              </w:rPr>
            </w:pPr>
          </w:p>
        </w:tc>
        <w:tc>
          <w:tcPr>
            <w:tcW w:w="683" w:type="dxa"/>
            <w:noWrap w:val="0"/>
            <w:vAlign w:val="center"/>
          </w:tcPr>
          <w:p>
            <w:pPr>
              <w:adjustRightInd w:val="0"/>
              <w:snapToGrid w:val="0"/>
              <w:jc w:val="center"/>
              <w:rPr>
                <w:rFonts w:hint="default" w:ascii="仿宋_GB2312" w:hAnsi="仿宋_GB2312" w:cs="Times New Roman"/>
                <w:sz w:val="18"/>
                <w:szCs w:val="18"/>
              </w:rPr>
            </w:pPr>
          </w:p>
        </w:tc>
        <w:tc>
          <w:tcPr>
            <w:tcW w:w="450" w:type="dxa"/>
            <w:noWrap w:val="0"/>
            <w:vAlign w:val="center"/>
          </w:tcPr>
          <w:p>
            <w:pPr>
              <w:adjustRightInd w:val="0"/>
              <w:snapToGrid w:val="0"/>
              <w:jc w:val="center"/>
              <w:rPr>
                <w:rFonts w:hint="default" w:ascii="仿宋_GB2312" w:hAnsi="仿宋_GB2312" w:cs="Times New Roman"/>
                <w:sz w:val="18"/>
                <w:szCs w:val="18"/>
              </w:rPr>
            </w:pPr>
          </w:p>
        </w:tc>
        <w:tc>
          <w:tcPr>
            <w:tcW w:w="480" w:type="dxa"/>
            <w:noWrap w:val="0"/>
            <w:vAlign w:val="center"/>
          </w:tcPr>
          <w:p>
            <w:pPr>
              <w:adjustRightInd w:val="0"/>
              <w:snapToGrid w:val="0"/>
              <w:jc w:val="center"/>
              <w:rPr>
                <w:rFonts w:hint="default" w:ascii="仿宋_GB2312" w:hAnsi="仿宋_GB2312" w:cs="Times New Roman"/>
                <w:sz w:val="18"/>
                <w:szCs w:val="18"/>
              </w:rPr>
            </w:pPr>
          </w:p>
        </w:tc>
        <w:tc>
          <w:tcPr>
            <w:tcW w:w="463" w:type="dxa"/>
            <w:noWrap w:val="0"/>
            <w:vAlign w:val="center"/>
          </w:tcPr>
          <w:p>
            <w:pPr>
              <w:adjustRightInd w:val="0"/>
              <w:snapToGrid w:val="0"/>
              <w:jc w:val="center"/>
              <w:rPr>
                <w:rFonts w:hint="default" w:ascii="仿宋_GB2312" w:hAnsi="仿宋_GB2312" w:cs="Times New Roman"/>
                <w:sz w:val="18"/>
                <w:szCs w:val="18"/>
              </w:rPr>
            </w:pPr>
          </w:p>
        </w:tc>
        <w:tc>
          <w:tcPr>
            <w:tcW w:w="457" w:type="dxa"/>
            <w:noWrap w:val="0"/>
            <w:vAlign w:val="center"/>
          </w:tcPr>
          <w:p>
            <w:pPr>
              <w:adjustRightInd w:val="0"/>
              <w:snapToGrid w:val="0"/>
              <w:jc w:val="center"/>
              <w:rPr>
                <w:rFonts w:hint="default" w:ascii="仿宋_GB2312" w:hAnsi="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noWrap w:val="0"/>
            <w:vAlign w:val="center"/>
          </w:tcPr>
          <w:p>
            <w:pPr>
              <w:adjustRightInd w:val="0"/>
              <w:snapToGrid w:val="0"/>
              <w:rPr>
                <w:rFonts w:hint="default" w:ascii="仿宋_GB2312" w:hAnsi="仿宋_GB2312" w:cs="Times New Roman"/>
                <w:sz w:val="18"/>
                <w:szCs w:val="18"/>
              </w:rPr>
            </w:pPr>
            <w:r>
              <w:rPr>
                <w:rFonts w:hint="default" w:ascii="仿宋_GB2312" w:hAnsi="仿宋_GB2312" w:cs="Times New Roman"/>
                <w:sz w:val="15"/>
              </w:rPr>
              <w:t>妇幼保健计划生育技术服务机构</w:t>
            </w:r>
          </w:p>
        </w:tc>
        <w:tc>
          <w:tcPr>
            <w:tcW w:w="442" w:type="dxa"/>
            <w:noWrap w:val="0"/>
            <w:vAlign w:val="center"/>
          </w:tcPr>
          <w:p>
            <w:pPr>
              <w:rPr>
                <w:rFonts w:hint="default" w:ascii="仿宋_GB2312" w:hAnsi="仿宋_GB2312" w:cs="Times New Roman"/>
                <w:sz w:val="18"/>
                <w:szCs w:val="18"/>
              </w:rPr>
            </w:pPr>
          </w:p>
        </w:tc>
        <w:tc>
          <w:tcPr>
            <w:tcW w:w="434" w:type="dxa"/>
            <w:noWrap w:val="0"/>
            <w:vAlign w:val="center"/>
          </w:tcPr>
          <w:p>
            <w:pPr>
              <w:rPr>
                <w:rFonts w:hint="default" w:ascii="仿宋_GB2312" w:hAnsi="仿宋_GB2312" w:cs="Times New Roman"/>
              </w:rPr>
            </w:pPr>
          </w:p>
        </w:tc>
        <w:tc>
          <w:tcPr>
            <w:tcW w:w="483" w:type="dxa"/>
            <w:noWrap w:val="0"/>
            <w:vAlign w:val="center"/>
          </w:tcPr>
          <w:p>
            <w:pPr>
              <w:rPr>
                <w:rFonts w:hint="default" w:ascii="仿宋_GB2312" w:hAnsi="仿宋_GB2312" w:cs="Times New Roman"/>
              </w:rPr>
            </w:pPr>
          </w:p>
        </w:tc>
        <w:tc>
          <w:tcPr>
            <w:tcW w:w="474" w:type="dxa"/>
            <w:noWrap w:val="0"/>
            <w:vAlign w:val="center"/>
          </w:tcPr>
          <w:p>
            <w:pPr>
              <w:rPr>
                <w:rFonts w:hint="default" w:ascii="仿宋_GB2312" w:hAnsi="仿宋_GB2312" w:cs="Times New Roman"/>
              </w:rPr>
            </w:pPr>
          </w:p>
        </w:tc>
        <w:tc>
          <w:tcPr>
            <w:tcW w:w="511" w:type="dxa"/>
            <w:noWrap w:val="0"/>
            <w:vAlign w:val="center"/>
          </w:tcPr>
          <w:p>
            <w:pPr>
              <w:rPr>
                <w:rFonts w:hint="default" w:ascii="仿宋_GB2312" w:hAnsi="仿宋_GB2312" w:cs="Times New Roman"/>
              </w:rPr>
            </w:pPr>
          </w:p>
        </w:tc>
        <w:tc>
          <w:tcPr>
            <w:tcW w:w="488" w:type="dxa"/>
            <w:noWrap w:val="0"/>
            <w:vAlign w:val="center"/>
          </w:tcPr>
          <w:p>
            <w:pPr>
              <w:rPr>
                <w:rFonts w:hint="default" w:ascii="仿宋_GB2312" w:hAnsi="仿宋_GB2312" w:cs="Times New Roman"/>
              </w:rPr>
            </w:pPr>
          </w:p>
        </w:tc>
        <w:tc>
          <w:tcPr>
            <w:tcW w:w="497" w:type="dxa"/>
            <w:noWrap w:val="0"/>
            <w:vAlign w:val="center"/>
          </w:tcPr>
          <w:p>
            <w:pPr>
              <w:rPr>
                <w:rFonts w:hint="default" w:ascii="仿宋_GB2312" w:hAnsi="仿宋_GB2312" w:cs="Times New Roman"/>
              </w:rPr>
            </w:pPr>
          </w:p>
        </w:tc>
        <w:tc>
          <w:tcPr>
            <w:tcW w:w="524" w:type="dxa"/>
            <w:noWrap w:val="0"/>
            <w:vAlign w:val="center"/>
          </w:tcPr>
          <w:p>
            <w:pPr>
              <w:rPr>
                <w:rFonts w:hint="default" w:ascii="仿宋_GB2312" w:hAnsi="仿宋_GB2312" w:cs="Times New Roman"/>
              </w:rPr>
            </w:pPr>
          </w:p>
        </w:tc>
        <w:tc>
          <w:tcPr>
            <w:tcW w:w="724" w:type="dxa"/>
            <w:noWrap w:val="0"/>
            <w:vAlign w:val="center"/>
          </w:tcPr>
          <w:p>
            <w:pPr>
              <w:rPr>
                <w:rFonts w:hint="default" w:ascii="仿宋_GB2312" w:hAnsi="仿宋_GB2312" w:cs="Times New Roman"/>
              </w:rPr>
            </w:pPr>
          </w:p>
        </w:tc>
        <w:tc>
          <w:tcPr>
            <w:tcW w:w="515" w:type="dxa"/>
            <w:noWrap w:val="0"/>
            <w:vAlign w:val="center"/>
          </w:tcPr>
          <w:p>
            <w:pPr>
              <w:rPr>
                <w:rFonts w:hint="default" w:ascii="仿宋_GB2312" w:hAnsi="仿宋_GB2312" w:cs="Times New Roman"/>
              </w:rPr>
            </w:pPr>
          </w:p>
        </w:tc>
        <w:tc>
          <w:tcPr>
            <w:tcW w:w="515" w:type="dxa"/>
            <w:noWrap w:val="0"/>
            <w:vAlign w:val="center"/>
          </w:tcPr>
          <w:p>
            <w:pPr>
              <w:rPr>
                <w:rFonts w:hint="default" w:ascii="仿宋_GB2312" w:hAnsi="仿宋_GB2312" w:cs="Times New Roman"/>
              </w:rPr>
            </w:pPr>
          </w:p>
        </w:tc>
        <w:tc>
          <w:tcPr>
            <w:tcW w:w="702" w:type="dxa"/>
            <w:noWrap w:val="0"/>
            <w:vAlign w:val="center"/>
          </w:tcPr>
          <w:p>
            <w:pPr>
              <w:rPr>
                <w:rFonts w:hint="default" w:ascii="仿宋_GB2312" w:hAnsi="仿宋_GB2312" w:cs="Times New Roman"/>
              </w:rPr>
            </w:pPr>
          </w:p>
        </w:tc>
        <w:tc>
          <w:tcPr>
            <w:tcW w:w="693" w:type="dxa"/>
            <w:noWrap w:val="0"/>
            <w:vAlign w:val="center"/>
          </w:tcPr>
          <w:p>
            <w:pPr>
              <w:rPr>
                <w:rFonts w:hint="default" w:ascii="仿宋_GB2312" w:hAnsi="仿宋_GB2312" w:cs="Times New Roman"/>
              </w:rPr>
            </w:pPr>
          </w:p>
        </w:tc>
        <w:tc>
          <w:tcPr>
            <w:tcW w:w="511" w:type="dxa"/>
            <w:noWrap w:val="0"/>
            <w:vAlign w:val="center"/>
          </w:tcPr>
          <w:p>
            <w:pPr>
              <w:rPr>
                <w:rFonts w:hint="default" w:ascii="仿宋_GB2312" w:hAnsi="仿宋_GB2312" w:cs="Times New Roman"/>
              </w:rPr>
            </w:pPr>
          </w:p>
        </w:tc>
        <w:tc>
          <w:tcPr>
            <w:tcW w:w="724" w:type="dxa"/>
            <w:noWrap w:val="0"/>
            <w:vAlign w:val="center"/>
          </w:tcPr>
          <w:p>
            <w:pPr>
              <w:rPr>
                <w:rFonts w:hint="default" w:ascii="仿宋_GB2312" w:hAnsi="仿宋_GB2312" w:cs="Times New Roman"/>
              </w:rPr>
            </w:pPr>
          </w:p>
        </w:tc>
        <w:tc>
          <w:tcPr>
            <w:tcW w:w="493" w:type="dxa"/>
            <w:noWrap w:val="0"/>
            <w:vAlign w:val="center"/>
          </w:tcPr>
          <w:p>
            <w:pPr>
              <w:rPr>
                <w:rFonts w:hint="default" w:ascii="仿宋_GB2312" w:hAnsi="仿宋_GB2312" w:cs="Times New Roman"/>
              </w:rPr>
            </w:pPr>
          </w:p>
        </w:tc>
        <w:tc>
          <w:tcPr>
            <w:tcW w:w="502" w:type="dxa"/>
            <w:noWrap w:val="0"/>
            <w:vAlign w:val="center"/>
          </w:tcPr>
          <w:p>
            <w:pPr>
              <w:rPr>
                <w:rFonts w:hint="default" w:ascii="仿宋_GB2312" w:hAnsi="仿宋_GB2312" w:cs="Times New Roman"/>
              </w:rPr>
            </w:pPr>
          </w:p>
        </w:tc>
        <w:tc>
          <w:tcPr>
            <w:tcW w:w="715" w:type="dxa"/>
            <w:noWrap w:val="0"/>
            <w:vAlign w:val="center"/>
          </w:tcPr>
          <w:p>
            <w:pPr>
              <w:rPr>
                <w:rFonts w:hint="default" w:ascii="仿宋_GB2312" w:hAnsi="仿宋_GB2312" w:cs="Times New Roman"/>
              </w:rPr>
            </w:pPr>
          </w:p>
        </w:tc>
        <w:tc>
          <w:tcPr>
            <w:tcW w:w="737" w:type="dxa"/>
            <w:noWrap w:val="0"/>
            <w:vAlign w:val="center"/>
          </w:tcPr>
          <w:p>
            <w:pPr>
              <w:rPr>
                <w:rFonts w:hint="default" w:ascii="仿宋_GB2312" w:hAnsi="仿宋_GB2312" w:cs="Times New Roman"/>
              </w:rPr>
            </w:pPr>
          </w:p>
        </w:tc>
        <w:tc>
          <w:tcPr>
            <w:tcW w:w="483" w:type="dxa"/>
            <w:noWrap w:val="0"/>
            <w:vAlign w:val="center"/>
          </w:tcPr>
          <w:p>
            <w:pPr>
              <w:rPr>
                <w:rFonts w:hint="default" w:ascii="仿宋_GB2312" w:hAnsi="仿宋_GB2312" w:cs="Times New Roman"/>
              </w:rPr>
            </w:pPr>
          </w:p>
        </w:tc>
        <w:tc>
          <w:tcPr>
            <w:tcW w:w="683" w:type="dxa"/>
            <w:noWrap w:val="0"/>
            <w:vAlign w:val="center"/>
          </w:tcPr>
          <w:p>
            <w:pPr>
              <w:rPr>
                <w:rFonts w:hint="default" w:ascii="仿宋_GB2312" w:hAnsi="仿宋_GB2312" w:cs="Times New Roman"/>
              </w:rPr>
            </w:pPr>
          </w:p>
        </w:tc>
        <w:tc>
          <w:tcPr>
            <w:tcW w:w="450" w:type="dxa"/>
            <w:noWrap w:val="0"/>
            <w:vAlign w:val="center"/>
          </w:tcPr>
          <w:p>
            <w:pPr>
              <w:rPr>
                <w:rFonts w:hint="default" w:ascii="仿宋_GB2312" w:hAnsi="仿宋_GB2312" w:cs="Times New Roman"/>
              </w:rPr>
            </w:pPr>
          </w:p>
        </w:tc>
        <w:tc>
          <w:tcPr>
            <w:tcW w:w="480" w:type="dxa"/>
            <w:noWrap w:val="0"/>
            <w:vAlign w:val="center"/>
          </w:tcPr>
          <w:p>
            <w:pPr>
              <w:rPr>
                <w:rFonts w:hint="default" w:ascii="仿宋_GB2312" w:hAnsi="仿宋_GB2312" w:cs="Times New Roman"/>
              </w:rPr>
            </w:pPr>
          </w:p>
        </w:tc>
        <w:tc>
          <w:tcPr>
            <w:tcW w:w="463" w:type="dxa"/>
            <w:noWrap w:val="0"/>
            <w:vAlign w:val="center"/>
          </w:tcPr>
          <w:p>
            <w:pPr>
              <w:rPr>
                <w:rFonts w:hint="default" w:ascii="仿宋_GB2312" w:hAnsi="仿宋_GB2312" w:cs="Times New Roman"/>
              </w:rPr>
            </w:pPr>
          </w:p>
        </w:tc>
        <w:tc>
          <w:tcPr>
            <w:tcW w:w="457" w:type="dxa"/>
            <w:noWrap w:val="0"/>
            <w:vAlign w:val="center"/>
          </w:tcPr>
          <w:p>
            <w:pPr>
              <w:rPr>
                <w:rFonts w:hint="default" w:ascii="仿宋_GB2312" w:hAnsi="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noWrap w:val="0"/>
            <w:vAlign w:val="center"/>
          </w:tcPr>
          <w:p>
            <w:pPr>
              <w:adjustRightInd w:val="0"/>
              <w:snapToGrid w:val="0"/>
              <w:rPr>
                <w:rFonts w:hint="default" w:ascii="仿宋_GB2312" w:hAnsi="仿宋_GB2312" w:cs="Times New Roman"/>
                <w:sz w:val="18"/>
                <w:szCs w:val="18"/>
              </w:rPr>
            </w:pPr>
            <w:r>
              <w:rPr>
                <w:rFonts w:hint="default" w:ascii="仿宋_GB2312" w:hAnsi="仿宋_GB2312" w:cs="Times New Roman"/>
                <w:sz w:val="15"/>
              </w:rPr>
              <w:t>其他医疗、保健机构</w:t>
            </w:r>
          </w:p>
        </w:tc>
        <w:tc>
          <w:tcPr>
            <w:tcW w:w="442" w:type="dxa"/>
            <w:noWrap w:val="0"/>
            <w:vAlign w:val="center"/>
          </w:tcPr>
          <w:p>
            <w:pPr>
              <w:rPr>
                <w:rFonts w:hint="default" w:ascii="仿宋_GB2312" w:hAnsi="仿宋_GB2312" w:cs="Times New Roman"/>
                <w:sz w:val="18"/>
                <w:szCs w:val="18"/>
              </w:rPr>
            </w:pPr>
          </w:p>
        </w:tc>
        <w:tc>
          <w:tcPr>
            <w:tcW w:w="434" w:type="dxa"/>
            <w:noWrap w:val="0"/>
            <w:vAlign w:val="center"/>
          </w:tcPr>
          <w:p>
            <w:pPr>
              <w:rPr>
                <w:rFonts w:hint="default" w:ascii="仿宋_GB2312" w:hAnsi="仿宋_GB2312" w:cs="Times New Roman"/>
              </w:rPr>
            </w:pPr>
          </w:p>
        </w:tc>
        <w:tc>
          <w:tcPr>
            <w:tcW w:w="483" w:type="dxa"/>
            <w:noWrap w:val="0"/>
            <w:vAlign w:val="center"/>
          </w:tcPr>
          <w:p>
            <w:pPr>
              <w:rPr>
                <w:rFonts w:hint="default" w:ascii="仿宋_GB2312" w:hAnsi="仿宋_GB2312" w:cs="Times New Roman"/>
              </w:rPr>
            </w:pPr>
          </w:p>
        </w:tc>
        <w:tc>
          <w:tcPr>
            <w:tcW w:w="474" w:type="dxa"/>
            <w:noWrap w:val="0"/>
            <w:vAlign w:val="center"/>
          </w:tcPr>
          <w:p>
            <w:pPr>
              <w:rPr>
                <w:rFonts w:hint="default" w:ascii="仿宋_GB2312" w:hAnsi="仿宋_GB2312" w:cs="Times New Roman"/>
              </w:rPr>
            </w:pPr>
          </w:p>
        </w:tc>
        <w:tc>
          <w:tcPr>
            <w:tcW w:w="511" w:type="dxa"/>
            <w:noWrap w:val="0"/>
            <w:vAlign w:val="center"/>
          </w:tcPr>
          <w:p>
            <w:pPr>
              <w:rPr>
                <w:rFonts w:hint="default" w:ascii="仿宋_GB2312" w:hAnsi="仿宋_GB2312" w:cs="Times New Roman"/>
              </w:rPr>
            </w:pPr>
          </w:p>
        </w:tc>
        <w:tc>
          <w:tcPr>
            <w:tcW w:w="488" w:type="dxa"/>
            <w:noWrap w:val="0"/>
            <w:vAlign w:val="center"/>
          </w:tcPr>
          <w:p>
            <w:pPr>
              <w:rPr>
                <w:rFonts w:hint="default" w:ascii="仿宋_GB2312" w:hAnsi="仿宋_GB2312" w:cs="Times New Roman"/>
              </w:rPr>
            </w:pPr>
          </w:p>
        </w:tc>
        <w:tc>
          <w:tcPr>
            <w:tcW w:w="497" w:type="dxa"/>
            <w:noWrap w:val="0"/>
            <w:vAlign w:val="center"/>
          </w:tcPr>
          <w:p>
            <w:pPr>
              <w:rPr>
                <w:rFonts w:hint="default" w:ascii="仿宋_GB2312" w:hAnsi="仿宋_GB2312" w:cs="Times New Roman"/>
              </w:rPr>
            </w:pPr>
          </w:p>
        </w:tc>
        <w:tc>
          <w:tcPr>
            <w:tcW w:w="524" w:type="dxa"/>
            <w:noWrap w:val="0"/>
            <w:vAlign w:val="center"/>
          </w:tcPr>
          <w:p>
            <w:pPr>
              <w:rPr>
                <w:rFonts w:hint="default" w:ascii="仿宋_GB2312" w:hAnsi="仿宋_GB2312" w:cs="Times New Roman"/>
              </w:rPr>
            </w:pPr>
          </w:p>
        </w:tc>
        <w:tc>
          <w:tcPr>
            <w:tcW w:w="724" w:type="dxa"/>
            <w:noWrap w:val="0"/>
            <w:vAlign w:val="center"/>
          </w:tcPr>
          <w:p>
            <w:pPr>
              <w:rPr>
                <w:rFonts w:hint="default" w:ascii="仿宋_GB2312" w:hAnsi="仿宋_GB2312" w:cs="Times New Roman"/>
              </w:rPr>
            </w:pPr>
          </w:p>
        </w:tc>
        <w:tc>
          <w:tcPr>
            <w:tcW w:w="515" w:type="dxa"/>
            <w:noWrap w:val="0"/>
            <w:vAlign w:val="center"/>
          </w:tcPr>
          <w:p>
            <w:pPr>
              <w:rPr>
                <w:rFonts w:hint="default" w:ascii="仿宋_GB2312" w:hAnsi="仿宋_GB2312" w:cs="Times New Roman"/>
              </w:rPr>
            </w:pPr>
          </w:p>
        </w:tc>
        <w:tc>
          <w:tcPr>
            <w:tcW w:w="515" w:type="dxa"/>
            <w:noWrap w:val="0"/>
            <w:vAlign w:val="center"/>
          </w:tcPr>
          <w:p>
            <w:pPr>
              <w:rPr>
                <w:rFonts w:hint="default" w:ascii="仿宋_GB2312" w:hAnsi="仿宋_GB2312" w:cs="Times New Roman"/>
              </w:rPr>
            </w:pPr>
          </w:p>
        </w:tc>
        <w:tc>
          <w:tcPr>
            <w:tcW w:w="702" w:type="dxa"/>
            <w:noWrap w:val="0"/>
            <w:vAlign w:val="center"/>
          </w:tcPr>
          <w:p>
            <w:pPr>
              <w:rPr>
                <w:rFonts w:hint="default" w:ascii="仿宋_GB2312" w:hAnsi="仿宋_GB2312" w:cs="Times New Roman"/>
              </w:rPr>
            </w:pPr>
          </w:p>
        </w:tc>
        <w:tc>
          <w:tcPr>
            <w:tcW w:w="693" w:type="dxa"/>
            <w:noWrap w:val="0"/>
            <w:vAlign w:val="center"/>
          </w:tcPr>
          <w:p>
            <w:pPr>
              <w:rPr>
                <w:rFonts w:hint="default" w:ascii="仿宋_GB2312" w:hAnsi="仿宋_GB2312" w:cs="Times New Roman"/>
              </w:rPr>
            </w:pPr>
          </w:p>
        </w:tc>
        <w:tc>
          <w:tcPr>
            <w:tcW w:w="511" w:type="dxa"/>
            <w:noWrap w:val="0"/>
            <w:vAlign w:val="center"/>
          </w:tcPr>
          <w:p>
            <w:pPr>
              <w:rPr>
                <w:rFonts w:hint="default" w:ascii="仿宋_GB2312" w:hAnsi="仿宋_GB2312" w:cs="Times New Roman"/>
              </w:rPr>
            </w:pPr>
          </w:p>
        </w:tc>
        <w:tc>
          <w:tcPr>
            <w:tcW w:w="724" w:type="dxa"/>
            <w:noWrap w:val="0"/>
            <w:vAlign w:val="center"/>
          </w:tcPr>
          <w:p>
            <w:pPr>
              <w:rPr>
                <w:rFonts w:hint="default" w:ascii="仿宋_GB2312" w:hAnsi="仿宋_GB2312" w:cs="Times New Roman"/>
              </w:rPr>
            </w:pPr>
          </w:p>
        </w:tc>
        <w:tc>
          <w:tcPr>
            <w:tcW w:w="493" w:type="dxa"/>
            <w:noWrap w:val="0"/>
            <w:vAlign w:val="center"/>
          </w:tcPr>
          <w:p>
            <w:pPr>
              <w:rPr>
                <w:rFonts w:hint="default" w:ascii="仿宋_GB2312" w:hAnsi="仿宋_GB2312" w:cs="Times New Roman"/>
              </w:rPr>
            </w:pPr>
          </w:p>
        </w:tc>
        <w:tc>
          <w:tcPr>
            <w:tcW w:w="502" w:type="dxa"/>
            <w:noWrap w:val="0"/>
            <w:vAlign w:val="center"/>
          </w:tcPr>
          <w:p>
            <w:pPr>
              <w:rPr>
                <w:rFonts w:hint="default" w:ascii="仿宋_GB2312" w:hAnsi="仿宋_GB2312" w:cs="Times New Roman"/>
              </w:rPr>
            </w:pPr>
          </w:p>
        </w:tc>
        <w:tc>
          <w:tcPr>
            <w:tcW w:w="715" w:type="dxa"/>
            <w:noWrap w:val="0"/>
            <w:vAlign w:val="center"/>
          </w:tcPr>
          <w:p>
            <w:pPr>
              <w:rPr>
                <w:rFonts w:hint="default" w:ascii="仿宋_GB2312" w:hAnsi="仿宋_GB2312" w:cs="Times New Roman"/>
              </w:rPr>
            </w:pPr>
          </w:p>
        </w:tc>
        <w:tc>
          <w:tcPr>
            <w:tcW w:w="737" w:type="dxa"/>
            <w:noWrap w:val="0"/>
            <w:vAlign w:val="center"/>
          </w:tcPr>
          <w:p>
            <w:pPr>
              <w:rPr>
                <w:rFonts w:hint="default" w:ascii="仿宋_GB2312" w:hAnsi="仿宋_GB2312" w:cs="Times New Roman"/>
              </w:rPr>
            </w:pPr>
          </w:p>
        </w:tc>
        <w:tc>
          <w:tcPr>
            <w:tcW w:w="483" w:type="dxa"/>
            <w:noWrap w:val="0"/>
            <w:vAlign w:val="center"/>
          </w:tcPr>
          <w:p>
            <w:pPr>
              <w:rPr>
                <w:rFonts w:hint="default" w:ascii="仿宋_GB2312" w:hAnsi="仿宋_GB2312" w:cs="Times New Roman"/>
              </w:rPr>
            </w:pPr>
          </w:p>
        </w:tc>
        <w:tc>
          <w:tcPr>
            <w:tcW w:w="683" w:type="dxa"/>
            <w:noWrap w:val="0"/>
            <w:vAlign w:val="center"/>
          </w:tcPr>
          <w:p>
            <w:pPr>
              <w:rPr>
                <w:rFonts w:hint="default" w:ascii="仿宋_GB2312" w:hAnsi="仿宋_GB2312" w:cs="Times New Roman"/>
              </w:rPr>
            </w:pPr>
          </w:p>
        </w:tc>
        <w:tc>
          <w:tcPr>
            <w:tcW w:w="450" w:type="dxa"/>
            <w:noWrap w:val="0"/>
            <w:vAlign w:val="center"/>
          </w:tcPr>
          <w:p>
            <w:pPr>
              <w:rPr>
                <w:rFonts w:hint="default" w:ascii="仿宋_GB2312" w:hAnsi="仿宋_GB2312" w:cs="Times New Roman"/>
              </w:rPr>
            </w:pPr>
          </w:p>
        </w:tc>
        <w:tc>
          <w:tcPr>
            <w:tcW w:w="480" w:type="dxa"/>
            <w:noWrap w:val="0"/>
            <w:vAlign w:val="center"/>
          </w:tcPr>
          <w:p>
            <w:pPr>
              <w:rPr>
                <w:rFonts w:hint="default" w:ascii="仿宋_GB2312" w:hAnsi="仿宋_GB2312" w:cs="Times New Roman"/>
              </w:rPr>
            </w:pPr>
          </w:p>
        </w:tc>
        <w:tc>
          <w:tcPr>
            <w:tcW w:w="463" w:type="dxa"/>
            <w:noWrap w:val="0"/>
            <w:vAlign w:val="center"/>
          </w:tcPr>
          <w:p>
            <w:pPr>
              <w:rPr>
                <w:rFonts w:hint="default" w:ascii="仿宋_GB2312" w:hAnsi="仿宋_GB2312" w:cs="Times New Roman"/>
              </w:rPr>
            </w:pPr>
          </w:p>
        </w:tc>
        <w:tc>
          <w:tcPr>
            <w:tcW w:w="457" w:type="dxa"/>
            <w:noWrap w:val="0"/>
            <w:vAlign w:val="center"/>
          </w:tcPr>
          <w:p>
            <w:pPr>
              <w:rPr>
                <w:rFonts w:hint="default" w:ascii="仿宋_GB2312" w:hAnsi="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6" w:type="dxa"/>
            <w:noWrap w:val="0"/>
            <w:vAlign w:val="center"/>
          </w:tcPr>
          <w:p>
            <w:pPr>
              <w:adjustRightInd w:val="0"/>
              <w:snapToGrid w:val="0"/>
              <w:jc w:val="center"/>
              <w:rPr>
                <w:rFonts w:hint="default" w:ascii="仿宋_GB2312" w:hAnsi="仿宋_GB2312" w:cs="Times New Roman"/>
                <w:sz w:val="18"/>
                <w:szCs w:val="18"/>
              </w:rPr>
            </w:pPr>
            <w:r>
              <w:rPr>
                <w:rFonts w:hint="default" w:ascii="仿宋_GB2312" w:hAnsi="仿宋_GB2312" w:cs="Times New Roman"/>
                <w:sz w:val="18"/>
              </w:rPr>
              <w:t>合计</w:t>
            </w:r>
          </w:p>
        </w:tc>
        <w:tc>
          <w:tcPr>
            <w:tcW w:w="442" w:type="dxa"/>
            <w:noWrap w:val="0"/>
            <w:vAlign w:val="center"/>
          </w:tcPr>
          <w:p>
            <w:pPr>
              <w:adjustRightInd w:val="0"/>
              <w:snapToGrid w:val="0"/>
              <w:jc w:val="center"/>
              <w:rPr>
                <w:rFonts w:hint="default" w:ascii="仿宋_GB2312" w:hAnsi="仿宋_GB2312" w:cs="Times New Roman"/>
                <w:sz w:val="18"/>
                <w:szCs w:val="18"/>
              </w:rPr>
            </w:pPr>
          </w:p>
        </w:tc>
        <w:tc>
          <w:tcPr>
            <w:tcW w:w="434" w:type="dxa"/>
            <w:noWrap w:val="0"/>
            <w:vAlign w:val="center"/>
          </w:tcPr>
          <w:p>
            <w:pPr>
              <w:adjustRightInd w:val="0"/>
              <w:snapToGrid w:val="0"/>
              <w:jc w:val="center"/>
              <w:rPr>
                <w:rFonts w:hint="default" w:ascii="仿宋_GB2312" w:hAnsi="仿宋_GB2312" w:cs="Times New Roman"/>
                <w:sz w:val="18"/>
                <w:szCs w:val="18"/>
              </w:rPr>
            </w:pPr>
          </w:p>
        </w:tc>
        <w:tc>
          <w:tcPr>
            <w:tcW w:w="483" w:type="dxa"/>
            <w:noWrap w:val="0"/>
            <w:vAlign w:val="center"/>
          </w:tcPr>
          <w:p>
            <w:pPr>
              <w:adjustRightInd w:val="0"/>
              <w:snapToGrid w:val="0"/>
              <w:jc w:val="center"/>
              <w:rPr>
                <w:rFonts w:hint="default" w:ascii="仿宋_GB2312" w:hAnsi="仿宋_GB2312" w:cs="Times New Roman"/>
                <w:sz w:val="18"/>
                <w:szCs w:val="18"/>
              </w:rPr>
            </w:pPr>
          </w:p>
        </w:tc>
        <w:tc>
          <w:tcPr>
            <w:tcW w:w="474" w:type="dxa"/>
            <w:noWrap w:val="0"/>
            <w:vAlign w:val="center"/>
          </w:tcPr>
          <w:p>
            <w:pPr>
              <w:adjustRightInd w:val="0"/>
              <w:snapToGrid w:val="0"/>
              <w:jc w:val="center"/>
              <w:rPr>
                <w:rFonts w:hint="default" w:ascii="仿宋_GB2312" w:hAnsi="仿宋_GB2312" w:cs="Times New Roman"/>
                <w:sz w:val="18"/>
                <w:szCs w:val="18"/>
              </w:rPr>
            </w:pPr>
          </w:p>
        </w:tc>
        <w:tc>
          <w:tcPr>
            <w:tcW w:w="511" w:type="dxa"/>
            <w:noWrap w:val="0"/>
            <w:vAlign w:val="center"/>
          </w:tcPr>
          <w:p>
            <w:pPr>
              <w:adjustRightInd w:val="0"/>
              <w:snapToGrid w:val="0"/>
              <w:jc w:val="center"/>
              <w:rPr>
                <w:rFonts w:hint="default" w:ascii="仿宋_GB2312" w:hAnsi="仿宋_GB2312" w:cs="Times New Roman"/>
                <w:sz w:val="18"/>
                <w:szCs w:val="18"/>
              </w:rPr>
            </w:pPr>
          </w:p>
        </w:tc>
        <w:tc>
          <w:tcPr>
            <w:tcW w:w="488" w:type="dxa"/>
            <w:noWrap w:val="0"/>
            <w:vAlign w:val="center"/>
          </w:tcPr>
          <w:p>
            <w:pPr>
              <w:adjustRightInd w:val="0"/>
              <w:snapToGrid w:val="0"/>
              <w:jc w:val="center"/>
              <w:rPr>
                <w:rFonts w:hint="default" w:ascii="仿宋_GB2312" w:hAnsi="仿宋_GB2312" w:cs="Times New Roman"/>
                <w:sz w:val="18"/>
                <w:szCs w:val="18"/>
              </w:rPr>
            </w:pPr>
          </w:p>
        </w:tc>
        <w:tc>
          <w:tcPr>
            <w:tcW w:w="497" w:type="dxa"/>
            <w:noWrap w:val="0"/>
            <w:vAlign w:val="center"/>
          </w:tcPr>
          <w:p>
            <w:pPr>
              <w:adjustRightInd w:val="0"/>
              <w:snapToGrid w:val="0"/>
              <w:jc w:val="center"/>
              <w:rPr>
                <w:rFonts w:hint="default" w:ascii="仿宋_GB2312" w:hAnsi="仿宋_GB2312" w:cs="Times New Roman"/>
                <w:sz w:val="18"/>
                <w:szCs w:val="18"/>
              </w:rPr>
            </w:pPr>
          </w:p>
        </w:tc>
        <w:tc>
          <w:tcPr>
            <w:tcW w:w="524" w:type="dxa"/>
            <w:noWrap w:val="0"/>
            <w:vAlign w:val="center"/>
          </w:tcPr>
          <w:p>
            <w:pPr>
              <w:adjustRightInd w:val="0"/>
              <w:snapToGrid w:val="0"/>
              <w:jc w:val="center"/>
              <w:rPr>
                <w:rFonts w:hint="default" w:ascii="仿宋_GB2312" w:hAnsi="仿宋_GB2312" w:cs="Times New Roman"/>
                <w:sz w:val="18"/>
                <w:szCs w:val="18"/>
              </w:rPr>
            </w:pPr>
          </w:p>
        </w:tc>
        <w:tc>
          <w:tcPr>
            <w:tcW w:w="724" w:type="dxa"/>
            <w:noWrap w:val="0"/>
            <w:vAlign w:val="center"/>
          </w:tcPr>
          <w:p>
            <w:pPr>
              <w:adjustRightInd w:val="0"/>
              <w:snapToGrid w:val="0"/>
              <w:jc w:val="center"/>
              <w:rPr>
                <w:rFonts w:hint="default" w:ascii="仿宋_GB2312" w:hAnsi="仿宋_GB2312" w:cs="Times New Roman"/>
                <w:sz w:val="18"/>
                <w:szCs w:val="18"/>
              </w:rPr>
            </w:pPr>
          </w:p>
        </w:tc>
        <w:tc>
          <w:tcPr>
            <w:tcW w:w="515" w:type="dxa"/>
            <w:noWrap w:val="0"/>
            <w:vAlign w:val="center"/>
          </w:tcPr>
          <w:p>
            <w:pPr>
              <w:adjustRightInd w:val="0"/>
              <w:snapToGrid w:val="0"/>
              <w:jc w:val="center"/>
              <w:rPr>
                <w:rFonts w:hint="default" w:ascii="仿宋_GB2312" w:hAnsi="仿宋_GB2312" w:cs="Times New Roman"/>
                <w:sz w:val="18"/>
                <w:szCs w:val="18"/>
              </w:rPr>
            </w:pPr>
          </w:p>
        </w:tc>
        <w:tc>
          <w:tcPr>
            <w:tcW w:w="515" w:type="dxa"/>
            <w:noWrap w:val="0"/>
            <w:vAlign w:val="center"/>
          </w:tcPr>
          <w:p>
            <w:pPr>
              <w:adjustRightInd w:val="0"/>
              <w:snapToGrid w:val="0"/>
              <w:jc w:val="center"/>
              <w:rPr>
                <w:rFonts w:hint="default" w:ascii="仿宋_GB2312" w:hAnsi="仿宋_GB2312" w:cs="Times New Roman"/>
                <w:sz w:val="18"/>
                <w:szCs w:val="18"/>
              </w:rPr>
            </w:pPr>
          </w:p>
        </w:tc>
        <w:tc>
          <w:tcPr>
            <w:tcW w:w="702" w:type="dxa"/>
            <w:noWrap w:val="0"/>
            <w:vAlign w:val="center"/>
          </w:tcPr>
          <w:p>
            <w:pPr>
              <w:adjustRightInd w:val="0"/>
              <w:snapToGrid w:val="0"/>
              <w:jc w:val="center"/>
              <w:rPr>
                <w:rFonts w:hint="default" w:ascii="仿宋_GB2312" w:hAnsi="仿宋_GB2312" w:cs="Times New Roman"/>
                <w:sz w:val="18"/>
                <w:szCs w:val="18"/>
              </w:rPr>
            </w:pPr>
          </w:p>
        </w:tc>
        <w:tc>
          <w:tcPr>
            <w:tcW w:w="693" w:type="dxa"/>
            <w:noWrap w:val="0"/>
            <w:vAlign w:val="center"/>
          </w:tcPr>
          <w:p>
            <w:pPr>
              <w:adjustRightInd w:val="0"/>
              <w:snapToGrid w:val="0"/>
              <w:jc w:val="center"/>
              <w:rPr>
                <w:rFonts w:hint="default" w:ascii="仿宋_GB2312" w:hAnsi="仿宋_GB2312" w:cs="Times New Roman"/>
                <w:sz w:val="18"/>
                <w:szCs w:val="18"/>
              </w:rPr>
            </w:pPr>
          </w:p>
        </w:tc>
        <w:tc>
          <w:tcPr>
            <w:tcW w:w="511" w:type="dxa"/>
            <w:noWrap w:val="0"/>
            <w:vAlign w:val="center"/>
          </w:tcPr>
          <w:p>
            <w:pPr>
              <w:adjustRightInd w:val="0"/>
              <w:snapToGrid w:val="0"/>
              <w:jc w:val="center"/>
              <w:rPr>
                <w:rFonts w:hint="default" w:ascii="仿宋_GB2312" w:hAnsi="仿宋_GB2312" w:cs="Times New Roman"/>
                <w:sz w:val="18"/>
                <w:szCs w:val="18"/>
              </w:rPr>
            </w:pPr>
          </w:p>
        </w:tc>
        <w:tc>
          <w:tcPr>
            <w:tcW w:w="724" w:type="dxa"/>
            <w:noWrap w:val="0"/>
            <w:vAlign w:val="center"/>
          </w:tcPr>
          <w:p>
            <w:pPr>
              <w:adjustRightInd w:val="0"/>
              <w:snapToGrid w:val="0"/>
              <w:jc w:val="center"/>
              <w:rPr>
                <w:rFonts w:hint="default" w:ascii="仿宋_GB2312" w:hAnsi="仿宋_GB2312" w:cs="Times New Roman"/>
                <w:sz w:val="18"/>
                <w:szCs w:val="18"/>
              </w:rPr>
            </w:pPr>
          </w:p>
        </w:tc>
        <w:tc>
          <w:tcPr>
            <w:tcW w:w="493" w:type="dxa"/>
            <w:noWrap w:val="0"/>
            <w:vAlign w:val="center"/>
          </w:tcPr>
          <w:p>
            <w:pPr>
              <w:adjustRightInd w:val="0"/>
              <w:snapToGrid w:val="0"/>
              <w:jc w:val="center"/>
              <w:rPr>
                <w:rFonts w:hint="default" w:ascii="仿宋_GB2312" w:hAnsi="仿宋_GB2312" w:cs="Times New Roman"/>
                <w:sz w:val="18"/>
                <w:szCs w:val="18"/>
              </w:rPr>
            </w:pPr>
          </w:p>
        </w:tc>
        <w:tc>
          <w:tcPr>
            <w:tcW w:w="502" w:type="dxa"/>
            <w:noWrap w:val="0"/>
            <w:vAlign w:val="center"/>
          </w:tcPr>
          <w:p>
            <w:pPr>
              <w:adjustRightInd w:val="0"/>
              <w:snapToGrid w:val="0"/>
              <w:jc w:val="center"/>
              <w:rPr>
                <w:rFonts w:hint="default" w:ascii="仿宋_GB2312" w:hAnsi="仿宋_GB2312" w:cs="Times New Roman"/>
                <w:sz w:val="18"/>
                <w:szCs w:val="18"/>
              </w:rPr>
            </w:pPr>
          </w:p>
        </w:tc>
        <w:tc>
          <w:tcPr>
            <w:tcW w:w="715" w:type="dxa"/>
            <w:noWrap w:val="0"/>
            <w:vAlign w:val="center"/>
          </w:tcPr>
          <w:p>
            <w:pPr>
              <w:adjustRightInd w:val="0"/>
              <w:snapToGrid w:val="0"/>
              <w:jc w:val="center"/>
              <w:rPr>
                <w:rFonts w:hint="default" w:ascii="仿宋_GB2312" w:hAnsi="仿宋_GB2312" w:cs="Times New Roman"/>
                <w:sz w:val="18"/>
                <w:szCs w:val="18"/>
              </w:rPr>
            </w:pPr>
          </w:p>
        </w:tc>
        <w:tc>
          <w:tcPr>
            <w:tcW w:w="737" w:type="dxa"/>
            <w:noWrap w:val="0"/>
            <w:vAlign w:val="center"/>
          </w:tcPr>
          <w:p>
            <w:pPr>
              <w:adjustRightInd w:val="0"/>
              <w:snapToGrid w:val="0"/>
              <w:jc w:val="center"/>
              <w:rPr>
                <w:rFonts w:hint="default" w:ascii="仿宋_GB2312" w:hAnsi="仿宋_GB2312" w:cs="Times New Roman"/>
                <w:sz w:val="18"/>
                <w:szCs w:val="18"/>
              </w:rPr>
            </w:pPr>
          </w:p>
        </w:tc>
        <w:tc>
          <w:tcPr>
            <w:tcW w:w="483" w:type="dxa"/>
            <w:noWrap w:val="0"/>
            <w:vAlign w:val="center"/>
          </w:tcPr>
          <w:p>
            <w:pPr>
              <w:adjustRightInd w:val="0"/>
              <w:snapToGrid w:val="0"/>
              <w:jc w:val="center"/>
              <w:rPr>
                <w:rFonts w:hint="default" w:ascii="仿宋_GB2312" w:hAnsi="仿宋_GB2312" w:cs="Times New Roman"/>
                <w:sz w:val="18"/>
                <w:szCs w:val="18"/>
              </w:rPr>
            </w:pPr>
          </w:p>
        </w:tc>
        <w:tc>
          <w:tcPr>
            <w:tcW w:w="683" w:type="dxa"/>
            <w:noWrap w:val="0"/>
            <w:vAlign w:val="center"/>
          </w:tcPr>
          <w:p>
            <w:pPr>
              <w:adjustRightInd w:val="0"/>
              <w:snapToGrid w:val="0"/>
              <w:jc w:val="center"/>
              <w:rPr>
                <w:rFonts w:hint="default" w:ascii="仿宋_GB2312" w:hAnsi="仿宋_GB2312" w:cs="Times New Roman"/>
                <w:sz w:val="18"/>
                <w:szCs w:val="18"/>
              </w:rPr>
            </w:pPr>
          </w:p>
        </w:tc>
        <w:tc>
          <w:tcPr>
            <w:tcW w:w="450" w:type="dxa"/>
            <w:noWrap w:val="0"/>
            <w:vAlign w:val="center"/>
          </w:tcPr>
          <w:p>
            <w:pPr>
              <w:adjustRightInd w:val="0"/>
              <w:snapToGrid w:val="0"/>
              <w:jc w:val="center"/>
              <w:rPr>
                <w:rFonts w:hint="default" w:ascii="仿宋_GB2312" w:hAnsi="仿宋_GB2312" w:cs="Times New Roman"/>
                <w:sz w:val="18"/>
                <w:szCs w:val="18"/>
              </w:rPr>
            </w:pPr>
          </w:p>
        </w:tc>
        <w:tc>
          <w:tcPr>
            <w:tcW w:w="480" w:type="dxa"/>
            <w:noWrap w:val="0"/>
            <w:vAlign w:val="center"/>
          </w:tcPr>
          <w:p>
            <w:pPr>
              <w:adjustRightInd w:val="0"/>
              <w:snapToGrid w:val="0"/>
              <w:jc w:val="center"/>
              <w:rPr>
                <w:rFonts w:hint="default" w:ascii="仿宋_GB2312" w:hAnsi="仿宋_GB2312" w:cs="Times New Roman"/>
                <w:sz w:val="18"/>
                <w:szCs w:val="18"/>
              </w:rPr>
            </w:pPr>
          </w:p>
        </w:tc>
        <w:tc>
          <w:tcPr>
            <w:tcW w:w="463" w:type="dxa"/>
            <w:noWrap w:val="0"/>
            <w:vAlign w:val="center"/>
          </w:tcPr>
          <w:p>
            <w:pPr>
              <w:adjustRightInd w:val="0"/>
              <w:snapToGrid w:val="0"/>
              <w:jc w:val="center"/>
              <w:rPr>
                <w:rFonts w:hint="default" w:ascii="仿宋_GB2312" w:hAnsi="仿宋_GB2312" w:cs="Times New Roman"/>
                <w:sz w:val="18"/>
                <w:szCs w:val="18"/>
              </w:rPr>
            </w:pPr>
          </w:p>
        </w:tc>
        <w:tc>
          <w:tcPr>
            <w:tcW w:w="457" w:type="dxa"/>
            <w:noWrap w:val="0"/>
            <w:vAlign w:val="center"/>
          </w:tcPr>
          <w:p>
            <w:pPr>
              <w:adjustRightInd w:val="0"/>
              <w:snapToGrid w:val="0"/>
              <w:jc w:val="center"/>
              <w:rPr>
                <w:rFonts w:hint="default" w:ascii="仿宋_GB2312" w:hAnsi="仿宋_GB2312" w:cs="Times New Roman"/>
                <w:sz w:val="18"/>
                <w:szCs w:val="18"/>
              </w:rPr>
            </w:pPr>
          </w:p>
        </w:tc>
      </w:tr>
    </w:tbl>
    <w:p>
      <w:pPr>
        <w:adjustRightInd w:val="0"/>
        <w:snapToGrid w:val="0"/>
        <w:spacing w:line="120" w:lineRule="auto"/>
        <w:rPr>
          <w:rFonts w:hint="default" w:ascii="仿宋_GB2312" w:hAnsi="仿宋_GB2312" w:cs="Times New Roman"/>
        </w:rPr>
        <w:sectPr>
          <w:pgSz w:w="16838" w:h="11905" w:orient="landscape"/>
          <w:pgMar w:top="1134" w:right="1134" w:bottom="1134" w:left="1134" w:header="851" w:footer="851" w:gutter="0"/>
          <w:pgNumType w:fmt="decimal"/>
          <w:cols w:space="720" w:num="1"/>
          <w:docGrid w:type="lines" w:linePitch="439" w:charSpace="0"/>
        </w:sectPr>
      </w:pPr>
    </w:p>
    <w:tbl>
      <w:tblPr>
        <w:tblStyle w:val="5"/>
        <w:tblpPr w:leftFromText="180" w:rightFromText="180" w:horzAnchor="margin" w:tblpXSpec="center" w:tblpYSpec="bottom"/>
        <w:tblOverlap w:val="never"/>
        <w:tblW w:w="0" w:type="auto"/>
        <w:tblInd w:w="0" w:type="dxa"/>
        <w:tblBorders>
          <w:top w:val="single" w:color="auto" w:sz="8" w:space="0"/>
          <w:left w:val="none" w:color="auto" w:sz="0" w:space="0"/>
          <w:bottom w:val="single" w:color="auto" w:sz="8" w:space="0"/>
          <w:right w:val="none" w:color="auto" w:sz="0" w:space="0"/>
          <w:insideH w:val="single" w:color="auto" w:sz="6" w:space="0"/>
          <w:insideV w:val="none" w:color="auto" w:sz="0" w:space="0"/>
        </w:tblBorders>
        <w:tblLayout w:type="fixed"/>
        <w:tblCellMar>
          <w:top w:w="0" w:type="dxa"/>
          <w:left w:w="0" w:type="dxa"/>
          <w:bottom w:w="0" w:type="dxa"/>
          <w:right w:w="0" w:type="dxa"/>
        </w:tblCellMar>
      </w:tblPr>
      <w:tblGrid>
        <w:gridCol w:w="4821"/>
        <w:gridCol w:w="3821"/>
      </w:tblGrid>
      <w:tr>
        <w:tblPrEx>
          <w:tblBorders>
            <w:top w:val="single" w:color="auto" w:sz="8" w:space="0"/>
            <w:left w:val="none" w:color="auto" w:sz="0" w:space="0"/>
            <w:bottom w:val="single" w:color="auto" w:sz="8" w:space="0"/>
            <w:right w:val="none" w:color="auto" w:sz="0" w:space="0"/>
            <w:insideH w:val="single" w:color="auto" w:sz="6" w:space="0"/>
            <w:insideV w:val="none" w:color="auto" w:sz="0" w:space="0"/>
          </w:tblBorders>
          <w:tblCellMar>
            <w:top w:w="0" w:type="dxa"/>
            <w:left w:w="0" w:type="dxa"/>
            <w:bottom w:w="0" w:type="dxa"/>
            <w:right w:w="0" w:type="dxa"/>
          </w:tblCellMar>
        </w:tblPrEx>
        <w:trPr>
          <w:trHeight w:val="510" w:hRule="atLeast"/>
        </w:trPr>
        <w:tc>
          <w:tcPr>
            <w:tcW w:w="4821" w:type="dxa"/>
            <w:tcBorders>
              <w:tl2br w:val="nil"/>
              <w:tr2bl w:val="nil"/>
            </w:tcBorders>
            <w:noWrap w:val="0"/>
            <w:vAlign w:val="center"/>
          </w:tcPr>
          <w:p>
            <w:pPr>
              <w:spacing w:after="100" w:line="460" w:lineRule="exact"/>
              <w:ind w:right="208" w:rightChars="65" w:firstLine="280" w:firstLineChars="100"/>
              <w:jc w:val="both"/>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vertAlign w:val="baseline"/>
                <w:lang w:val="en-US" w:eastAsia="zh-CN"/>
              </w:rPr>
              <w:t>福建省卫生健康委员会办公室</w:t>
            </w:r>
          </w:p>
        </w:tc>
        <w:tc>
          <w:tcPr>
            <w:tcW w:w="3821" w:type="dxa"/>
            <w:tcBorders>
              <w:tl2br w:val="nil"/>
              <w:tr2bl w:val="nil"/>
            </w:tcBorders>
            <w:noWrap w:val="0"/>
            <w:vAlign w:val="center"/>
          </w:tcPr>
          <w:p>
            <w:pPr>
              <w:wordWrap w:val="0"/>
              <w:spacing w:after="100" w:afterAutospacing="1" w:line="460" w:lineRule="exact"/>
              <w:ind w:right="208" w:rightChars="65" w:firstLine="840" w:firstLineChars="300"/>
              <w:jc w:val="right"/>
              <w:textAlignment w:val="bottom"/>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lang w:val="en-US" w:eastAsia="zh-CN"/>
              </w:rPr>
              <w:t>202</w:t>
            </w:r>
            <w:r>
              <w:rPr>
                <w:rFonts w:hint="eastAsia" w:ascii="仿宋_GB2312" w:hAnsi="仿宋_GB2312" w:cs="仿宋_GB2312"/>
                <w:snapToGrid w:val="0"/>
                <w:kern w:val="0"/>
                <w:sz w:val="28"/>
                <w:szCs w:val="28"/>
                <w:lang w:val="en-US" w:eastAsia="zh-CN"/>
              </w:rPr>
              <w:t>2</w:t>
            </w:r>
            <w:r>
              <w:rPr>
                <w:rFonts w:hint="eastAsia" w:ascii="仿宋_GB2312" w:hAnsi="仿宋_GB2312" w:eastAsia="仿宋_GB2312" w:cs="仿宋_GB2312"/>
                <w:snapToGrid w:val="0"/>
                <w:kern w:val="0"/>
                <w:sz w:val="28"/>
                <w:szCs w:val="28"/>
              </w:rPr>
              <w:t>年</w:t>
            </w:r>
            <w:r>
              <w:rPr>
                <w:rFonts w:hint="eastAsia" w:ascii="仿宋_GB2312" w:hAnsi="仿宋_GB2312" w:cs="仿宋_GB2312"/>
                <w:snapToGrid w:val="0"/>
                <w:kern w:val="0"/>
                <w:sz w:val="28"/>
                <w:szCs w:val="28"/>
                <w:lang w:val="en-US" w:eastAsia="zh-CN"/>
              </w:rPr>
              <w:t>7</w:t>
            </w:r>
            <w:r>
              <w:rPr>
                <w:rFonts w:hint="eastAsia" w:ascii="仿宋_GB2312" w:hAnsi="仿宋_GB2312" w:eastAsia="仿宋_GB2312" w:cs="仿宋_GB2312"/>
                <w:snapToGrid w:val="0"/>
                <w:kern w:val="0"/>
                <w:sz w:val="28"/>
                <w:szCs w:val="28"/>
              </w:rPr>
              <w:t>月</w:t>
            </w:r>
            <w:r>
              <w:rPr>
                <w:rFonts w:hint="eastAsia" w:ascii="仿宋_GB2312" w:hAnsi="仿宋_GB2312" w:cs="仿宋_GB2312"/>
                <w:snapToGrid w:val="0"/>
                <w:kern w:val="0"/>
                <w:sz w:val="28"/>
                <w:szCs w:val="28"/>
                <w:lang w:val="en-US" w:eastAsia="zh-CN"/>
              </w:rPr>
              <w:t>9</w:t>
            </w:r>
            <w:r>
              <w:rPr>
                <w:rFonts w:hint="eastAsia" w:ascii="仿宋_GB2312" w:hAnsi="仿宋_GB2312" w:eastAsia="仿宋_GB2312" w:cs="仿宋_GB2312"/>
                <w:snapToGrid w:val="0"/>
                <w:kern w:val="0"/>
                <w:sz w:val="28"/>
                <w:szCs w:val="28"/>
              </w:rPr>
              <w:t xml:space="preserve">日印发 </w:t>
            </w:r>
          </w:p>
        </w:tc>
      </w:tr>
    </w:tbl>
    <w:p>
      <w:pPr>
        <w:rPr>
          <w:sz w:val="11"/>
          <w:szCs w:val="11"/>
        </w:rPr>
      </w:pPr>
      <w:bookmarkStart w:id="0" w:name="_GoBack"/>
      <w:bookmarkEnd w:id="0"/>
    </w:p>
    <w:sectPr>
      <w:footerReference r:id="rId7" w:type="default"/>
      <w:footerReference r:id="rId8" w:type="even"/>
      <w:pgSz w:w="11905" w:h="16838"/>
      <w:pgMar w:top="1814" w:right="1474" w:bottom="1701" w:left="1587" w:header="851" w:footer="1417" w:gutter="0"/>
      <w:pgNumType w:fmt="decimal"/>
      <w:cols w:space="720" w:num="1"/>
      <w:rtlGutter w:val="0"/>
      <w:docGrid w:type="lines" w:linePitch="44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383A2A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ind w:firstLine="880" w:firstLineChars="200"/>
      <w:jc w:val="both"/>
    </w:pPr>
    <w:rPr>
      <w:rFonts w:ascii="仿宋_GB2312" w:hAnsi="仿宋_GB2312" w:eastAsia="仿宋_GB2312" w:cs="Times New Roman"/>
      <w:kern w:val="2"/>
      <w:sz w:val="36"/>
      <w:szCs w:val="24"/>
      <w:lang w:val="en-US" w:eastAsia="zh-CN" w:bidi="ar-SA"/>
    </w:rPr>
  </w:style>
  <w:style w:type="paragraph" w:styleId="3">
    <w:name w:val="footer"/>
    <w:basedOn w:val="1"/>
    <w:qFormat/>
    <w:uiPriority w:val="99"/>
    <w:pPr>
      <w:tabs>
        <w:tab w:val="center" w:pos="4153"/>
        <w:tab w:val="right" w:pos="8306"/>
      </w:tabs>
      <w:snapToGrid w:val="0"/>
      <w:jc w:val="left"/>
    </w:pPr>
    <w:rPr>
      <w:rFonts w:eastAsia="宋体"/>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2022-07-21T02:20:25Z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04A8C44940A94FE4A37358B678341EA2</vt:lpwstr>
  </property>
</Properties>
</file>