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ind w:firstLine="640" w:firstLineChars="200"/>
        <w:jc w:val="both"/>
        <w:rPr>
          <w:rFonts w:hint="eastAsia" w:ascii="Times New Roman" w:hAnsi="Times New Roman" w:eastAsia="方正黑体简体"/>
          <w:bCs/>
          <w:sz w:val="32"/>
          <w:szCs w:val="32"/>
        </w:rPr>
      </w:pPr>
      <w:r>
        <w:rPr>
          <w:rFonts w:hint="eastAsia" w:ascii="Times New Roman" w:hAnsi="Times New Roman" w:eastAsia="方正黑体简体"/>
          <w:bCs/>
          <w:sz w:val="32"/>
          <w:szCs w:val="32"/>
        </w:rPr>
        <w:t>附件</w:t>
      </w:r>
    </w:p>
    <w:p>
      <w:pPr>
        <w:spacing w:line="590" w:lineRule="exact"/>
        <w:jc w:val="center"/>
        <w:rPr>
          <w:rFonts w:hint="eastAsia" w:ascii="Times New Roman" w:hAnsi="Times New Roman" w:eastAsia="方正小标宋简体" w:cs="宋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福建省深化基层医药卫生体制综合改革任务分工</w:t>
      </w:r>
    </w:p>
    <w:p>
      <w:pPr>
        <w:spacing w:line="590" w:lineRule="exact"/>
        <w:rPr>
          <w:rFonts w:hint="eastAsia" w:ascii="宋体" w:hAnsi="宋体" w:cs="宋体"/>
        </w:rPr>
      </w:pPr>
    </w:p>
    <w:tbl>
      <w:tblPr>
        <w:tblStyle w:val="6"/>
        <w:tblW w:w="130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40"/>
        <w:gridCol w:w="4901"/>
        <w:gridCol w:w="1701"/>
        <w:gridCol w:w="2339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95" w:hRule="atLeast"/>
          <w:tblHeader/>
          <w:jc w:val="center"/>
        </w:trPr>
        <w:tc>
          <w:tcPr>
            <w:tcW w:w="7341" w:type="dxa"/>
            <w:gridSpan w:val="2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Times New Roman" w:hAnsi="Times New Roman" w:eastAsia="方正黑体简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简体" w:cs="宋体"/>
                <w:bCs/>
                <w:kern w:val="0"/>
                <w:sz w:val="28"/>
                <w:szCs w:val="28"/>
              </w:rPr>
              <w:t>主要任务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Times New Roman" w:hAnsi="Times New Roman" w:eastAsia="方正黑体简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简体" w:cs="宋体"/>
                <w:bCs/>
                <w:kern w:val="0"/>
                <w:sz w:val="28"/>
                <w:szCs w:val="28"/>
              </w:rPr>
              <w:t>牵头部门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Times New Roman" w:hAnsi="Times New Roman" w:eastAsia="方正黑体简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简体" w:cs="宋体"/>
                <w:bCs/>
                <w:kern w:val="0"/>
                <w:sz w:val="28"/>
                <w:szCs w:val="28"/>
              </w:rPr>
              <w:t>配合部门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Times New Roman" w:hAnsi="Times New Roman" w:eastAsia="方正黑体简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简体" w:cs="宋体"/>
                <w:bCs/>
                <w:kern w:val="0"/>
                <w:sz w:val="28"/>
                <w:szCs w:val="28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0" w:hRule="atLeast"/>
          <w:jc w:val="center"/>
        </w:trPr>
        <w:tc>
          <w:tcPr>
            <w:tcW w:w="13043" w:type="dxa"/>
            <w:gridSpan w:val="5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一、深化县级办医领导体制改革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95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（一）加强规划引领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1.推进各县（市、区）政府设立“县医管委”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省医改办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2016年12月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65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2.完善医疗卫生服务体系规划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省发改委、财政厅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05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3.加强基层医疗卫生服务体系建设，到2020年实现基础设施、基本设备双达标。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省发改委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40" w:hRule="atLeast"/>
          <w:jc w:val="center"/>
        </w:trPr>
        <w:tc>
          <w:tcPr>
            <w:tcW w:w="2440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（二）落实办医自主权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</w:t>
            </w:r>
            <w:r>
              <w:rPr>
                <w:rFonts w:ascii="宋体" w:hAnsi="宋体" w:cs="宋体"/>
                <w:kern w:val="0"/>
                <w:sz w:val="24"/>
              </w:rPr>
              <w:t>推行“一归口、三下放”</w:t>
            </w:r>
            <w:r>
              <w:rPr>
                <w:rFonts w:hint="eastAsia" w:ascii="宋体" w:hAnsi="宋体" w:cs="宋体"/>
                <w:kern w:val="0"/>
                <w:sz w:val="24"/>
              </w:rPr>
              <w:t>，将基层医疗卫生机构的人事、业务、经费等事项统一由县医管委归口管理。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省医改办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2017年6月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45" w:hRule="atLeast"/>
          <w:jc w:val="center"/>
        </w:trPr>
        <w:tc>
          <w:tcPr>
            <w:tcW w:w="2440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（三）加强机构监督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加强对公立医疗机构运行监督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省医改办、省委宣传部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5" w:hRule="atLeast"/>
          <w:jc w:val="center"/>
        </w:trPr>
        <w:tc>
          <w:tcPr>
            <w:tcW w:w="13043" w:type="dxa"/>
            <w:gridSpan w:val="5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二、明确各级医疗卫生机构功能定位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53" w:hRule="atLeast"/>
          <w:jc w:val="center"/>
        </w:trPr>
        <w:tc>
          <w:tcPr>
            <w:tcW w:w="2440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（一）明确机构定位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厘清各级医疗卫生机构职责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91" w:hRule="atLeast"/>
          <w:jc w:val="center"/>
        </w:trPr>
        <w:tc>
          <w:tcPr>
            <w:tcW w:w="2440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（二）提升服务能力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提升县级公立医院综合服务能力，加大薄弱学科建设，建设“三大服务平台”。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省发改委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96" w:hRule="atLeast"/>
          <w:jc w:val="center"/>
        </w:trPr>
        <w:tc>
          <w:tcPr>
            <w:tcW w:w="2440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（三）加强规范管理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科学分类管理基层医疗卫生机构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7" w:hRule="atLeast"/>
          <w:jc w:val="center"/>
        </w:trPr>
        <w:tc>
          <w:tcPr>
            <w:tcW w:w="13043" w:type="dxa"/>
            <w:gridSpan w:val="5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三、全面推进县级公立医院综合改革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（一）改革内部分配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1.改革工资总额核定办法和内部分配制度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省卫计委、财政厅</w:t>
            </w:r>
          </w:p>
        </w:tc>
        <w:tc>
          <w:tcPr>
            <w:tcW w:w="1662" w:type="dxa"/>
            <w:vMerge w:val="restart"/>
            <w:vAlign w:val="center"/>
          </w:tcPr>
          <w:p/>
          <w:p/>
          <w:p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  <w:p>
            <w:pPr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2推进院长年薪任期目标责任制和全员目标年薪制实施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省卫计委、财政厅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3.逐步推进编内编外人员同工同酬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2339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省卫计委、财政厅，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省委编办</w:t>
            </w:r>
          </w:p>
        </w:tc>
        <w:tc>
          <w:tcPr>
            <w:tcW w:w="1662" w:type="dxa"/>
            <w:vMerge w:val="continue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01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（二）改革人事编制制度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1.推行院长聘任制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78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2.试行县级公立医院编制使用备案制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省委编办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44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（三）加强医院财务精细化管理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1.推行总会计师制度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2.加强医院结余资金管理，推行全面预算和全成本核算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22" w:hRule="atLeast"/>
          <w:jc w:val="center"/>
        </w:trPr>
        <w:tc>
          <w:tcPr>
            <w:tcW w:w="13043" w:type="dxa"/>
            <w:gridSpan w:val="5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四、改革基层医疗卫生机构内部运行机制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（一）改革绩效分配制度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1.明确绩效工资提取政策，改革绩效工资总量核定办法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省卫计委、财政厅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2.实行院长目标年薪制，建立院长年度绩效考核评价体系。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19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3.建立健全内部分配办法和绩效考核制度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省财政厅、人社厅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（二）</w:t>
            </w:r>
            <w:r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  <w:t>改革用人用工制度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重新核定入编和占编不入编两种方式聘用人员数。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省委编办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12" w:hRule="atLeast"/>
          <w:jc w:val="center"/>
        </w:trPr>
        <w:tc>
          <w:tcPr>
            <w:tcW w:w="13043" w:type="dxa"/>
            <w:gridSpan w:val="5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五、改革基层医疗卫生机构服务模式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（一）推进乡村卫生服务一体化管理</w:t>
            </w:r>
          </w:p>
          <w:p/>
          <w:p/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1.全面推进乡村卫生服务一体化管理，完成公立村卫生所设置。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省发改委、</w:t>
            </w:r>
            <w:bookmarkStart w:id="0" w:name="OLE_LINK5"/>
            <w:r>
              <w:rPr>
                <w:rFonts w:hint="eastAsia" w:ascii="宋体" w:hAnsi="宋体" w:cs="宋体"/>
                <w:kern w:val="0"/>
                <w:sz w:val="24"/>
              </w:rPr>
              <w:t>财政厅</w:t>
            </w:r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、医保办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2.推进村卫生所标准化建设，实现基础设施、基本设备双达标。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省发改委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2018年12月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3.落实村医基本养老保险政策。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省卫计委、财政厅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4.建立健全村卫生所的人员经费保障与机构运行补助机制。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5.实现一体化管理的公立村卫生所医保定点全覆盖。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省医保办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1" w:name="OLE_LINK1"/>
            <w:r>
              <w:rPr>
                <w:rFonts w:hint="eastAsia" w:ascii="宋体" w:hAnsi="宋体" w:cs="宋体"/>
                <w:kern w:val="0"/>
                <w:sz w:val="24"/>
              </w:rPr>
              <w:t>2018年6月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19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（二）推进城市家庭医生签约服务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1.推进城市开展慢性病家庭医生签约服务，确定试点范围，组建家庭医生签约团队。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2017年6月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58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2.合理测算签约服务费，确定签约服务包。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省物价局、发改委、财政厅、医保办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66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3.完善医保扶持政策，落实综合激励措施。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省医保办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87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4.建立二、三级医院与社区卫生服务中心签约服务协作机制。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2" w:hRule="atLeast"/>
          <w:jc w:val="center"/>
        </w:trPr>
        <w:tc>
          <w:tcPr>
            <w:tcW w:w="13043" w:type="dxa"/>
            <w:gridSpan w:val="5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六、加强基层卫生人才队伍建设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90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（一）优化人才招聘培训使用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1.推进县卫计部门设立基层卫技人员管理服务保障中心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省委编办、省人社厅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69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2.放宽基层卫生技术人员招聘条件、简化招聘程序。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3.实施定向培养本土化大专学历医学人才政策，加强全科医生及紧缺专业人才培养力度。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省发改委、人社厅、教育厅、财政厅，</w:t>
            </w:r>
          </w:p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省委编办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2" w:name="OLE_LINK4"/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01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（二）加强编制管理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1.重新核定基层医疗卫生机构人员编制。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省委编办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2017年12月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43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2.研究完善社区卫生服务中心编制核定办法。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省委编办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2018年12月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59" w:hRule="atLeast"/>
          <w:jc w:val="center"/>
        </w:trPr>
        <w:tc>
          <w:tcPr>
            <w:tcW w:w="2440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（三）落实基层评聘政策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落实基层职称评聘政策，适当提高医疗卫生机构高级专业技术岗位结构比例。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省人社厅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13043" w:type="dxa"/>
            <w:gridSpan w:val="5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七、改革基层医改相关配套政策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27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（一）落实基层保障政策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1.放宽基层临床用药目录。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省医保办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3" w:name="OLE_LINK2"/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70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2.制定向基层倾斜的医保报销政策。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省医保办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46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3.准确核定和足额保障基层医疗卫生机构投入。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01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4.落实农村乡镇卫生院卫技人员奖励、人员经费保障补助和特岗全科医生生活补助等政策。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01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5.落实县级公立医院投入。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省财政厅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restart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（二）强化信息化的技术支撑作用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1.整合信息资源，实现上下级医院协同诊疗功能。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bookmarkStart w:id="4" w:name="OLE_LINK3"/>
            <w:r>
              <w:rPr>
                <w:rFonts w:hint="eastAsia" w:ascii="宋体" w:hAnsi="宋体" w:cs="宋体"/>
                <w:kern w:val="0"/>
                <w:sz w:val="24"/>
              </w:rPr>
              <w:t>省发改委</w:t>
            </w:r>
            <w:bookmarkEnd w:id="4"/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2.建立县级卫生计生行政监管信息系统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省发改委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持续实施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3.加快县级综合医院信息化建设，完善各项业务功能。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省发改委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22" w:hRule="atLeast"/>
          <w:jc w:val="center"/>
        </w:trPr>
        <w:tc>
          <w:tcPr>
            <w:tcW w:w="2440" w:type="dxa"/>
            <w:vMerge w:val="continue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</w:pPr>
          </w:p>
        </w:tc>
        <w:tc>
          <w:tcPr>
            <w:tcW w:w="4901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4.推进“互联网+医疗”创新服务，设区市积极应用医疗服务门户网站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省卫计委</w:t>
            </w:r>
          </w:p>
        </w:tc>
        <w:tc>
          <w:tcPr>
            <w:tcW w:w="2339" w:type="dxa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省发改委</w:t>
            </w:r>
          </w:p>
        </w:tc>
        <w:tc>
          <w:tcPr>
            <w:tcW w:w="1662" w:type="dxa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2018年6月</w:t>
            </w:r>
          </w:p>
        </w:tc>
      </w:tr>
    </w:tbl>
    <w:p>
      <w:bookmarkStart w:id="5" w:name="_GoBack"/>
      <w:bookmarkEnd w:id="5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18" w:right="1418" w:bottom="1418" w:left="1418" w:header="851" w:footer="1134" w:gutter="0"/>
      <w:pgNumType w:start="3"/>
      <w:cols w:space="720" w:num="1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left="320" w:leftChars="100" w:right="320" w:rightChars="100"/>
      <w:jc w:val="right"/>
      <w:rPr>
        <w:rStyle w:val="5"/>
        <w:rFonts w:hint="eastAsia" w:eastAsia="宋体"/>
        <w:sz w:val="28"/>
        <w:szCs w:val="28"/>
      </w:rPr>
    </w:pPr>
    <w:r>
      <w:rPr>
        <w:rStyle w:val="5"/>
        <w:rFonts w:hint="eastAsia" w:eastAsia="宋体"/>
        <w:sz w:val="28"/>
        <w:szCs w:val="28"/>
      </w:rPr>
      <w:t xml:space="preserve">— </w:t>
    </w:r>
    <w:r>
      <w:rPr>
        <w:rStyle w:val="5"/>
        <w:rFonts w:ascii="Times New Roman" w:hAnsi="Times New Roman" w:eastAsia="宋体"/>
        <w:sz w:val="28"/>
        <w:szCs w:val="28"/>
      </w:rPr>
      <w:fldChar w:fldCharType="begin"/>
    </w:r>
    <w:r>
      <w:rPr>
        <w:rStyle w:val="5"/>
        <w:rFonts w:ascii="Times New Roman" w:hAnsi="Times New Roman" w:eastAsia="宋体"/>
        <w:sz w:val="28"/>
        <w:szCs w:val="28"/>
      </w:rPr>
      <w:instrText xml:space="preserve">PAGE  </w:instrText>
    </w:r>
    <w:r>
      <w:rPr>
        <w:rStyle w:val="5"/>
        <w:rFonts w:ascii="Times New Roman" w:hAnsi="Times New Roman" w:eastAsia="宋体"/>
        <w:sz w:val="28"/>
        <w:szCs w:val="28"/>
      </w:rPr>
      <w:fldChar w:fldCharType="separate"/>
    </w:r>
    <w:r>
      <w:rPr>
        <w:rStyle w:val="5"/>
        <w:rFonts w:ascii="Times New Roman" w:hAnsi="Times New Roman" w:eastAsia="宋体"/>
        <w:sz w:val="28"/>
        <w:szCs w:val="28"/>
      </w:rPr>
      <w:t>5</w:t>
    </w:r>
    <w:r>
      <w:rPr>
        <w:rStyle w:val="5"/>
        <w:rFonts w:ascii="Times New Roman" w:hAnsi="Times New Roman" w:eastAsia="宋体"/>
        <w:sz w:val="28"/>
        <w:szCs w:val="28"/>
      </w:rPr>
      <w:fldChar w:fldCharType="end"/>
    </w:r>
    <w:r>
      <w:rPr>
        <w:rStyle w:val="5"/>
        <w:rFonts w:hint="eastAsia" w:eastAsia="宋体"/>
        <w:sz w:val="28"/>
        <w:szCs w:val="28"/>
      </w:rPr>
      <w:t xml:space="preserve"> 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ind w:firstLine="280" w:firstLineChars="100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4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BC07E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2017-03-09T02:42:29Z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