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cs="仿宋_GB2312"/>
          <w:szCs w:val="32"/>
        </w:rPr>
      </w:pPr>
      <w:r>
        <w:rPr>
          <w:rFonts w:hint="eastAsia" w:ascii="黑体" w:hAnsi="黑体" w:eastAsia="黑体" w:cs="黑体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“我最喜爱的妈妈小屋”标准</w:t>
      </w:r>
    </w:p>
    <w:p>
      <w:pPr>
        <w:ind w:firstLine="640" w:firstLineChars="20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一、统一标识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母婴设施设置醒目的导向标志，标识名称统一定为“妈妈小屋”或其它统一规范的名称。</w:t>
      </w:r>
    </w:p>
    <w:p>
      <w:pPr>
        <w:ind w:firstLine="640" w:firstLineChars="20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二、设施与环境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母婴设施除满足《实施意见》所附《公共场所母婴设施配置推荐标准》外，还应具有相对独立、宽敞的空间，有恒温空调或窗户，通风良好，最好配有洗手池和冰箱、微波炉等电器，环境布置温馨、舒适、有安全感。</w:t>
      </w:r>
    </w:p>
    <w:p>
      <w:pPr>
        <w:ind w:firstLine="640" w:firstLineChars="20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三、服务与管理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母婴设施应有专人管理（可以兼职、多人轮替），负责室内外环境清洁，补充更换婴儿用品、宣传资料等。建立日常使用情况登记簿（表），由使用对象自行登记，并附“建议栏”，收集使用过程中存在的问题及意见建议等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_GB2312"/>
        </w:rPr>
      </w:pPr>
      <w:r>
        <w:rPr>
          <w:rFonts w:hint="eastAsia" w:ascii="仿宋_GB2312" w:hAnsi="仿宋_GB2312"/>
        </w:rPr>
        <w:t>积极利用母婴设施开展母乳喂养宣传，每年至少开展1次相关知识讲座、心理疏导等宣传活动。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5910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2021-06-30T03:39:30Z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B7409B1743B4452E864629D4C51126B7</vt:lpwstr>
  </property>
</Properties>
</file>